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7FF7" w14:textId="0AB371ED" w:rsidR="002C6087" w:rsidRPr="009C501B" w:rsidRDefault="002C6087" w:rsidP="006F03A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</w:pPr>
      <w:r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>AUFGABENBESCHREIBUNG DER</w:t>
      </w:r>
      <w:r w:rsidR="00C72E38"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 xml:space="preserve"> </w:t>
      </w:r>
      <w:r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 xml:space="preserve">QUALIFIKATIONSPRÜFUNGSAUFGABEN IM FACH DEUTSCH FÜR DIE ZERTIFIZIERUNG PÄDAGOGISCHER MITARBEITER VON VORSCHULISCHEN, ÖFFENTLICHEN ALLGEMEINEN SEKUNDAR- UND </w:t>
      </w:r>
      <w:proofErr w:type="spellStart"/>
      <w:r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>AUßERSCHULISCHEN</w:t>
      </w:r>
      <w:proofErr w:type="spellEnd"/>
      <w:r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 xml:space="preserve"> BILDUNGSEINSTITUTEN</w:t>
      </w:r>
    </w:p>
    <w:p w14:paraId="23C129B2" w14:textId="77777777" w:rsidR="009C501B" w:rsidRDefault="009C501B" w:rsidP="002C608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val="uz-Cyrl-UZ" w:eastAsia="ru-RU"/>
        </w:rPr>
      </w:pPr>
    </w:p>
    <w:p w14:paraId="6FB1FA6C" w14:textId="59A4D661" w:rsidR="002C6087" w:rsidRPr="009C501B" w:rsidRDefault="002C6087" w:rsidP="002C608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</w:pPr>
      <w:r w:rsidRPr="009C501B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position w:val="-1"/>
          <w:sz w:val="26"/>
          <w:szCs w:val="26"/>
          <w:lang w:eastAsia="ru-RU"/>
        </w:rPr>
        <w:t>EINFÜHRUNG</w:t>
      </w:r>
    </w:p>
    <w:p w14:paraId="19E0FD51" w14:textId="6482E81B" w:rsidR="002C6087" w:rsidRPr="00B85380" w:rsidRDefault="002C6087" w:rsidP="006F03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Im Deutschunterricht muss großer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wert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auf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entwicklung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kreativer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denkfähigkeiten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eine hohe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sprachkultur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förderung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des akademischen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potenzials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schüler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gelegt werden. um eine vielseitige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generation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heranzubilden, ist es daher ratsam, dass auch heutige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pädagogen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ihre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unterrichtspraxis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auf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förderung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dieser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fähigkeiten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während des gesamten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bildungsprozesses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ausrichten. das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testverfahren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zur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beurteilung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des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wissens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kompetenz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lehrkräften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dient genau diesem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ziel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diese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testspezifikation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definiert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struktur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anforderungen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testvarianten zur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ermittlung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des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wissensstands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lehrkräften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proofErr w:type="gram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im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fach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Deutsch</w:t>
      </w:r>
      <w:proofErr w:type="gram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als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fremdsprache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auf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grundlage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ergebnisse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pilotphase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werden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ergänzungen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änderungen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korrekturen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an diesem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dokument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vorgenommen.</w:t>
      </w:r>
    </w:p>
    <w:p w14:paraId="6762DE78" w14:textId="756BA827" w:rsidR="002C6087" w:rsidRPr="009C501B" w:rsidRDefault="002C6087" w:rsidP="009C501B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Arten von Testaufgaben zur Feststellung von Kenntnissen und Fähigkeiten im Fach Deutsch</w:t>
      </w:r>
      <w:r w:rsidR="00481B0C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als Fremdsprache</w:t>
      </w:r>
    </w:p>
    <w:p w14:paraId="56FD9DD3" w14:textId="33E8A226" w:rsidR="002C6087" w:rsidRPr="00B85380" w:rsidRDefault="002C6087" w:rsidP="009C50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Die</w:t>
      </w:r>
      <w:r w:rsidRPr="00B8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prüfungsaufgaben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 dienen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feststellung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kenntnisse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fähigkeiten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kompetenzen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</w:rPr>
        <w:t>fachlehrer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</w:rPr>
        <w:t xml:space="preserve"> für Deutsch mitbringen sollten.</w:t>
      </w:r>
    </w:p>
    <w:p w14:paraId="5A9C87A2" w14:textId="241A4A08" w:rsidR="002C6087" w:rsidRPr="009C501B" w:rsidRDefault="002C6087" w:rsidP="009C501B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In der Prüfungsbewertung behandelte Inhaltsbereiche der deutschen Sprache</w:t>
      </w:r>
    </w:p>
    <w:p w14:paraId="420C45D7" w14:textId="3D5DA55F" w:rsidR="002C6087" w:rsidRPr="00B85380" w:rsidRDefault="002C6087" w:rsidP="009C50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Zur Beurteilung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deutschkenntnisse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lehrkräfte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einschließlich grammatik- und wortschatzregeln, deren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anwendung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satzbau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häufige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fehler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- basieren die testaufgaben auf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materialien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aus den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klassenstufen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5 bis 11 des allgemeinbildenden</w:t>
      </w:r>
      <w:r w:rsidR="009C501B">
        <w:rPr>
          <w:rFonts w:ascii="Times New Roman" w:hAnsi="Times New Roman" w:cs="Times New Roman"/>
          <w:sz w:val="28"/>
          <w:szCs w:val="28"/>
          <w:lang w:val="uz-Cyrl-UZ"/>
          <w14:ligatures w14:val="standardContextual"/>
        </w:rPr>
        <w:t xml:space="preserve">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deutschlehrplans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den entsprechenden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qualifikationsanforderungen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Folgende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inhaltsbereiche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deutschen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sprache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werden im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test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abgedeckt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:</w:t>
      </w:r>
    </w:p>
    <w:p w14:paraId="6BE029D6" w14:textId="5EF92980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Phonetik</w:t>
      </w:r>
      <w:r w:rsidR="005954C0"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 xml:space="preserve"> und Orthographie</w:t>
      </w:r>
    </w:p>
    <w:p w14:paraId="11B1E3B1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Morphologie</w:t>
      </w:r>
    </w:p>
    <w:p w14:paraId="7078B4F8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Syntax</w:t>
      </w:r>
    </w:p>
    <w:p w14:paraId="61C38CB9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Pragmatik</w:t>
      </w:r>
    </w:p>
    <w:p w14:paraId="25FA6E26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Soziolinguistik</w:t>
      </w:r>
    </w:p>
    <w:p w14:paraId="13607296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Lexik (Wortschatz)</w:t>
      </w:r>
    </w:p>
    <w:p w14:paraId="7618A29B" w14:textId="77777777" w:rsidR="002C6087" w:rsidRPr="00B85380" w:rsidRDefault="002C6087" w:rsidP="009C501B">
      <w:pPr>
        <w:pStyle w:val="a3"/>
        <w:numPr>
          <w:ilvl w:val="0"/>
          <w:numId w:val="3"/>
        </w:num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Leseverständnis</w:t>
      </w:r>
    </w:p>
    <w:p w14:paraId="36F2826C" w14:textId="77777777" w:rsidR="009C501B" w:rsidRDefault="009C501B" w:rsidP="009C501B">
      <w:p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:lang w:val="uz-Cyrl-UZ"/>
          <w14:ligatures w14:val="standardContextual"/>
        </w:rPr>
      </w:pPr>
    </w:p>
    <w:p w14:paraId="2A230467" w14:textId="37258F2D" w:rsidR="002C6087" w:rsidRPr="009C501B" w:rsidRDefault="002C6087" w:rsidP="009C501B">
      <w:p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lastRenderedPageBreak/>
        <w:t xml:space="preserve">Lektüre zum allgemeinen </w:t>
      </w:r>
      <w:proofErr w:type="spellStart"/>
      <w:r w:rsidR="00B85380"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v</w:t>
      </w:r>
      <w:r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erständnis</w:t>
      </w:r>
      <w:proofErr w:type="spellEnd"/>
    </w:p>
    <w:p w14:paraId="1C6CB312" w14:textId="7EF4087B" w:rsidR="002C6087" w:rsidRPr="009C501B" w:rsidRDefault="002C6087" w:rsidP="009C501B">
      <w:p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 xml:space="preserve">Lesen </w:t>
      </w:r>
      <w:r w:rsidR="00B85380"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s</w:t>
      </w:r>
      <w:r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 xml:space="preserve">ie weiter für ausführliche </w:t>
      </w:r>
      <w:proofErr w:type="spellStart"/>
      <w:r w:rsidR="00B85380"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i</w:t>
      </w:r>
      <w:r w:rsidRPr="009C501B">
        <w:rPr>
          <w:rFonts w:ascii="Times New Roman" w:hAnsi="Times New Roman" w:cs="Times New Roman"/>
          <w:position w:val="8"/>
          <w:sz w:val="28"/>
          <w:szCs w:val="28"/>
          <w14:ligatures w14:val="standardContextual"/>
        </w:rPr>
        <w:t>nformationen</w:t>
      </w:r>
      <w:proofErr w:type="spellEnd"/>
    </w:p>
    <w:p w14:paraId="111E703D" w14:textId="07F972FF" w:rsidR="002C6087" w:rsidRPr="00B85380" w:rsidRDefault="00504C9A" w:rsidP="006F03A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Hinweis</w:t>
      </w:r>
      <w:r w:rsidR="002C6087"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 1: </w:t>
      </w:r>
      <w:r w:rsidR="002C6087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Diese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inhaltsbereiche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der deutschen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sprache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werden auf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grundlage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der nationalen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standards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für </w:t>
      </w:r>
      <w:r w:rsid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D</w:t>
      </w:r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eutsch als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fremdsprache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an allgemeinbildenden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schulen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dargestellt. sie werden gemäß den aktuellen deutschen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lehrplänen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und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qualifikationsanforderungen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weiter präzisiert und in mehrere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unterthemen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unterteilt und in den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kodifikator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aufgenommen</w:t>
      </w:r>
      <w:r w:rsidR="002C6087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.</w:t>
      </w:r>
    </w:p>
    <w:p w14:paraId="57C49E90" w14:textId="2D974A0C" w:rsidR="002C6087" w:rsidRPr="009C501B" w:rsidRDefault="002C6087" w:rsidP="009C501B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Bewertete Wissensgebiete und Anforderungen in der deutschen Sprache: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798"/>
      </w:tblGrid>
      <w:tr w:rsidR="002C6087" w:rsidRPr="00B85380" w14:paraId="547B0EAF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250" w14:textId="186AA466" w:rsidR="002C6087" w:rsidRPr="009C501B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F567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Wissensgebiete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17D4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Anforderungen</w:t>
            </w:r>
          </w:p>
        </w:tc>
      </w:tr>
      <w:tr w:rsidR="002C6087" w:rsidRPr="00B85380" w14:paraId="7A179845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45B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464C" w14:textId="1943DFA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Phoneti</w:t>
            </w:r>
            <w:r w:rsidR="00B1308A" w:rsidRPr="00B853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r w:rsidR="00B1308A" w:rsidRPr="00B8538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rthograph</w:t>
            </w:r>
            <w:r w:rsidR="006E71BE" w:rsidRPr="00B8538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B723" w14:textId="0508D172" w:rsidR="002C6087" w:rsidRPr="00B85380" w:rsidRDefault="002C6087" w:rsidP="000D7C0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Unterscheiden segmentaler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merkmale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(einzelne laute) in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wörtern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suprasegmentaler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merkmale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betonung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rhythmus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intonation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in längeren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redephasen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erkennen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von wortbetonungsmustern in mehrsilbigen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wörtern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um eine genaue </w:t>
            </w:r>
            <w:proofErr w:type="spellStart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aussprache</w:t>
            </w:r>
            <w:proofErr w:type="spellEnd"/>
            <w:r w:rsidR="00B85380" w:rsidRPr="00B85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sicherzustellen.</w:t>
            </w:r>
          </w:p>
        </w:tc>
      </w:tr>
      <w:tr w:rsidR="002C6087" w:rsidRPr="00B85380" w14:paraId="64D2426A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81B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C8E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Morphologie</w:t>
            </w:r>
          </w:p>
          <w:p w14:paraId="39BEAA18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8AA" w14:textId="486523B5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Analysieren, wie sich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wortformen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ändern, um grammatische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zeitform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zahl,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geschlecht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fall oder grad auszudrücken und identifizieren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morphemtypen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(wurzeln,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präfixe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suffixe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), flexions-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ableitungsaffixen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erkennen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wortbildungsmustern, die zum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wortschatzsystem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einer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beitragen.</w:t>
            </w:r>
          </w:p>
        </w:tc>
      </w:tr>
      <w:tr w:rsidR="002C6087" w:rsidRPr="00B85380" w14:paraId="78BE142F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C27C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10D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00B" w14:textId="4E5E017B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Analysieren,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satzelemente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subjekte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prädikate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objekte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ergänzungen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modifikatoren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innerhalb verschiedener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satzstrukturen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(einfach, zusammengesetzt, komplex, zusammengesetzt-komplex) funktionieren und sich zueinander verhalten, und erkennen grammatikalischer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muster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verstehen der wortreihenfolge,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verwendung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konjunktionen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übereinstimmung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zwischen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satzteilen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(wie etwa subjekt-verb-übereinstimmung) und wie syntaktische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strukturen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klarheit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kommunikationszweck beeinflussen.</w:t>
            </w:r>
          </w:p>
        </w:tc>
      </w:tr>
      <w:tr w:rsidR="002C6087" w:rsidRPr="00B85380" w14:paraId="0F087125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4623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850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Pragmatik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FD4" w14:textId="2F86314C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Analysieren,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sprecher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die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 sozialen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interaktionen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verwenden, unter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berücksichtigung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faktoren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tonfall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absicht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geteiltem wissen, kulturellen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normen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beziehung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zwischen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sprechern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erkennen,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durch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implikatur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höflichkeitsstrategien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sprechakte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(z. b. bitten, versprechen,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entschuldigungen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) geformt werden kann und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zuhörer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indirekte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implizite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oder bildliche ausdrücke je nach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interpretieren.</w:t>
            </w:r>
          </w:p>
        </w:tc>
      </w:tr>
      <w:tr w:rsidR="002C6087" w:rsidRPr="00B85380" w14:paraId="45F668E7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45EC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5263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Soziolinguistik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F0B" w14:textId="18590615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Analyse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beziehung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zwischen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gesellschaft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wie soziale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faktoren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alter,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geschlecht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ethnische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zugehörigkeit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soziale klasse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kontext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die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weise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beeinflussen,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verwendet und interpretiert wird,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sprachvariationen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dialekte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soziolekte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idiolekte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die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auswirkungen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sozialer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identität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gruppenzugehörigkeit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kultureller normen auf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sprachmuster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identifizieren,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soziale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strukturen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widerspiegelt und verstärkt, und erforschen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themen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macht,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spracheinstellungen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mehrsprachigkeit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rolle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 der sozialen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interaktion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kommunikation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zwischen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gemeinschaften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087" w:rsidRPr="00B85380" w14:paraId="7235C58B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2F1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60A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Lexik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A34" w14:textId="1FC06CEB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Studium </w:t>
            </w:r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wortschatzes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einer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einschließlich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verwendung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klassifizierung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wörtern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mehrworteinheiten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 verschiedenen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kontexten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registern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33E5F" w14:textId="2E71F2D8" w:rsidR="002C6087" w:rsidRPr="00B85380" w:rsidRDefault="00B85380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lexikalischer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beziehungen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wie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synonymie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antonymie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hyponymie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kollokation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polysemie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sowie der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weise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wie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wörter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lexikalische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felder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semantische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netzwerke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bilden;</w:t>
            </w:r>
          </w:p>
          <w:p w14:paraId="7EDCA869" w14:textId="189CA3FA" w:rsidR="002C6087" w:rsidRPr="00B85380" w:rsidRDefault="00B85380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identifizieren, wie der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wortschatz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erworben, organisiert und erweitert wird, einschließlich der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rolle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häufigkeit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konnotation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wortbildungsprozessen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(z. b.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zusammensetzung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ableitung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) und dem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einfluss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kultureller und sozialer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faktoren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auf die lexikalische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wahl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087" w:rsidRPr="00B85380" w14:paraId="712BA1AE" w14:textId="77777777" w:rsidTr="000D7C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5A03" w14:textId="77777777" w:rsidR="002C6087" w:rsidRPr="00B85380" w:rsidRDefault="002C6087" w:rsidP="000D7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9F3" w14:textId="77777777" w:rsidR="002C6087" w:rsidRPr="00B85380" w:rsidRDefault="002C6087" w:rsidP="000D7C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Leseverständnis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D7A" w14:textId="05BAD9F2" w:rsidR="002C6087" w:rsidRPr="00B85380" w:rsidRDefault="002C6087" w:rsidP="006F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Entwicklung 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fähigkeit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schriftliche texte durch den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einsatz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einer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reihe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kognitiver und sprachlicher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strategien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zu verstehen, zu interpretieren und zu bewerten; analysieren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texten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um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hauptideen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unterstützende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textorganisation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ton,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absicht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standpunkt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zu identifizieren und gleichzeitig explizite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informationen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zu verstehen und kontextbasierte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schlussfolgerungen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zu ziehen; erkennen verschiedener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textarten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(narrativ, beschreibend, argumentativ, erklärend), verstehen des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wortschatzes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kontext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identifizieren von referenzmitteln (wie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pronomen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oder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konnektoren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) und anwenden von kritischem denken zur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beurteilung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voreingenommenheit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glaubwürdigkeit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E6918A" w14:textId="588F6404" w:rsidR="002C6087" w:rsidRPr="009C501B" w:rsidRDefault="009C501B" w:rsidP="009C501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before="120" w:after="120" w:line="276" w:lineRule="auto"/>
        <w:ind w:left="0" w:firstLine="709"/>
        <w:contextualSpacing w:val="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Cyrl-UZ"/>
          <w14:ligatures w14:val="standardContextual"/>
        </w:rPr>
        <w:t xml:space="preserve"> </w:t>
      </w:r>
      <w:r w:rsidR="002C6087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Erfassung kognitiver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kompetenzen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von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lehrkräften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anhand des deutschen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sprachtests</w:t>
      </w:r>
      <w:proofErr w:type="spellEnd"/>
    </w:p>
    <w:p w14:paraId="756A2263" w14:textId="29A60E20" w:rsidR="002C6087" w:rsidRPr="00B85380" w:rsidRDefault="002C6087" w:rsidP="006F03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Bei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wissenserfassung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proofErr w:type="gram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im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fach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B85380">
        <w:rPr>
          <w:rFonts w:ascii="Times New Roman" w:hAnsi="Times New Roman" w:cs="Times New Roman"/>
          <w:sz w:val="28"/>
          <w:szCs w:val="28"/>
          <w14:ligatures w14:val="standardContextual"/>
        </w:rPr>
        <w:t>D</w:t>
      </w:r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eutsch</w:t>
      </w:r>
      <w:proofErr w:type="gram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werden folgende arten kognitiver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aktivitäten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lehrkräften</w:t>
      </w:r>
      <w:proofErr w:type="spellEnd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durch testaufgaben bewertet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:</w:t>
      </w:r>
    </w:p>
    <w:p w14:paraId="03B62635" w14:textId="57BF2AFB" w:rsidR="002C6087" w:rsidRPr="00B85380" w:rsidRDefault="00504C9A" w:rsidP="00B85380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Wissen</w:t>
      </w:r>
    </w:p>
    <w:p w14:paraId="7DE464A4" w14:textId="12E53871" w:rsidR="002C6087" w:rsidRPr="00B85380" w:rsidRDefault="006F0353" w:rsidP="00B85380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Verwenden</w:t>
      </w:r>
    </w:p>
    <w:p w14:paraId="3DF5D9EB" w14:textId="77777777" w:rsidR="002C6087" w:rsidRPr="00B85380" w:rsidRDefault="002C6087" w:rsidP="00B85380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Analysieren</w:t>
      </w:r>
    </w:p>
    <w:p w14:paraId="1BB5ED68" w14:textId="3CB69A78" w:rsidR="002C6087" w:rsidRPr="009C501B" w:rsidRDefault="009C501B" w:rsidP="009C501B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Cyrl-UZ"/>
          <w14:ligatures w14:val="standardContextual"/>
        </w:rPr>
        <w:t xml:space="preserve">    </w:t>
      </w:r>
      <w:r w:rsidR="002C6087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Arten von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prüfungsaufgaben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in der deutschen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sprachprüfung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zur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feststellung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der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kenntnisse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und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fähigkeiten</w:t>
      </w:r>
      <w:proofErr w:type="spellEnd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von </w:t>
      </w:r>
      <w:proofErr w:type="spellStart"/>
      <w:r w:rsidR="00B8538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lehrkräften</w:t>
      </w:r>
      <w:proofErr w:type="spellEnd"/>
    </w:p>
    <w:p w14:paraId="2D616AE0" w14:textId="7940B5BA" w:rsidR="002C6087" w:rsidRPr="00B85380" w:rsidRDefault="002C6087" w:rsidP="00B853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Zur Feststellung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k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enntnisse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ähigkeiten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ehrkräfte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in der deutschen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s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prache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kann die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z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ertifizierungsprüfung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für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ehrkräfte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folgende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p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rüfungsaufgaben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umfassen:</w:t>
      </w:r>
    </w:p>
    <w:p w14:paraId="0D4DE0C8" w14:textId="754EC97C" w:rsidR="002C6087" w:rsidRPr="00B85380" w:rsidRDefault="002C6087" w:rsidP="00B85380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Geschlossener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est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mit vier inhaltlichen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uswahlmöglichkeiten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und einer richtigen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ntwort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Y-1</w:t>
      </w:r>
    </w:p>
    <w:p w14:paraId="7FB4FE1E" w14:textId="0702EBEA" w:rsidR="002C6087" w:rsidRPr="00B85380" w:rsidRDefault="002C6087" w:rsidP="00B85380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Geschlossener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est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mit mehreren richtigen Antworten – Y-2</w:t>
      </w:r>
    </w:p>
    <w:p w14:paraId="5D85BE35" w14:textId="107D9C2C" w:rsidR="002C6087" w:rsidRPr="00B85380" w:rsidRDefault="002C6087" w:rsidP="00B85380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Geschlossener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est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basierend auf übereinstimmenden verwandten Inhalten – Y-3</w:t>
      </w:r>
    </w:p>
    <w:p w14:paraId="6EDED416" w14:textId="75E930C0" w:rsidR="002C6087" w:rsidRPr="00B85380" w:rsidRDefault="002C6087" w:rsidP="00B85380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 xml:space="preserve">Geschlossener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est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basierend auf der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nordnung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lementen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in einer logischen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r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eihenfolge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Y-4</w:t>
      </w:r>
    </w:p>
    <w:p w14:paraId="757B5237" w14:textId="3E138E8C" w:rsidR="002C6087" w:rsidRPr="00B85380" w:rsidRDefault="002C6087" w:rsidP="00B85380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Geschlossener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est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zur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a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nwendung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von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i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nhalten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im </w:t>
      </w:r>
      <w:proofErr w:type="spellStart"/>
      <w:r w:rsidR="00B85380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f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ormat</w:t>
      </w:r>
      <w:proofErr w:type="spellEnd"/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„Ja/Nein“ oder „</w:t>
      </w:r>
      <w:r w:rsidR="006F0353"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Richtig</w:t>
      </w:r>
      <w:r w:rsidRPr="00B85380">
        <w:rPr>
          <w:rFonts w:ascii="Times New Roman" w:hAnsi="Times New Roman" w:cs="Times New Roman"/>
          <w:sz w:val="28"/>
          <w:szCs w:val="28"/>
          <w14:ligatures w14:val="standardContextual"/>
        </w:rPr>
        <w:t>/Falsch“ – Y-5</w:t>
      </w:r>
    </w:p>
    <w:p w14:paraId="170DFC7F" w14:textId="7984F2BA" w:rsidR="002C6087" w:rsidRPr="00B85380" w:rsidRDefault="002C6087" w:rsidP="002C608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Hinweis 2:</w:t>
      </w:r>
      <w:r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Aufgrund </w:t>
      </w:r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technischer </w:t>
      </w:r>
      <w:proofErr w:type="spellStart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einschränkungen</w:t>
      </w:r>
      <w:proofErr w:type="spellEnd"/>
      <w:r w:rsidR="00B85380"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können einige testtypen vorübergehend ersetzt werden</w:t>
      </w:r>
      <w:r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.</w:t>
      </w:r>
    </w:p>
    <w:p w14:paraId="0E9C5900" w14:textId="171C6BE4" w:rsidR="002C6087" w:rsidRPr="009C501B" w:rsidRDefault="002C6087" w:rsidP="009C501B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Spezifikation der Zertifizierungsprüfung zur Feststellung von Kenntnissen und Fähigkeiten von Lehrkräften in der deutschen Sprache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686"/>
        <w:gridCol w:w="1417"/>
        <w:gridCol w:w="1559"/>
        <w:gridCol w:w="709"/>
      </w:tblGrid>
      <w:tr w:rsidR="002C6087" w:rsidRPr="00B85380" w14:paraId="40903672" w14:textId="77777777" w:rsidTr="00C27E8F">
        <w:tc>
          <w:tcPr>
            <w:tcW w:w="421" w:type="dxa"/>
          </w:tcPr>
          <w:p w14:paraId="1F0F05B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30" w:type="dxa"/>
          </w:tcPr>
          <w:p w14:paraId="1E5AA6C8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Wissensgebiet</w:t>
            </w:r>
          </w:p>
        </w:tc>
        <w:tc>
          <w:tcPr>
            <w:tcW w:w="3686" w:type="dxa"/>
          </w:tcPr>
          <w:p w14:paraId="16BCF8B6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Anforderungen</w:t>
            </w:r>
          </w:p>
        </w:tc>
        <w:tc>
          <w:tcPr>
            <w:tcW w:w="1417" w:type="dxa"/>
          </w:tcPr>
          <w:p w14:paraId="6A9E1E7A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Anzahl der Aufgaben</w:t>
            </w:r>
          </w:p>
        </w:tc>
        <w:tc>
          <w:tcPr>
            <w:tcW w:w="1559" w:type="dxa"/>
          </w:tcPr>
          <w:p w14:paraId="4F042FA5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Art der beurteilten kognitiven Aktivität</w:t>
            </w:r>
          </w:p>
        </w:tc>
        <w:tc>
          <w:tcPr>
            <w:tcW w:w="709" w:type="dxa"/>
          </w:tcPr>
          <w:p w14:paraId="6EA4BA69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Art der Tests</w:t>
            </w:r>
          </w:p>
        </w:tc>
      </w:tr>
      <w:tr w:rsidR="002C6087" w:rsidRPr="00B85380" w14:paraId="7CBCF9A0" w14:textId="77777777" w:rsidTr="00C27E8F">
        <w:tc>
          <w:tcPr>
            <w:tcW w:w="421" w:type="dxa"/>
            <w:vMerge w:val="restart"/>
          </w:tcPr>
          <w:p w14:paraId="77858741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</w:tcPr>
          <w:p w14:paraId="58A2D2A1" w14:textId="27849D54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PHONETI</w:t>
            </w:r>
            <w:r w:rsidR="006E71BE"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 ORTHOGRAFI</w:t>
            </w:r>
            <w:r w:rsidR="006E71BE"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686" w:type="dxa"/>
            <w:vMerge w:val="restart"/>
          </w:tcPr>
          <w:p w14:paraId="79775ACD" w14:textId="10628608" w:rsidR="002C6087" w:rsidRPr="00B85380" w:rsidRDefault="002C6087" w:rsidP="00B85380">
            <w:pPr>
              <w:pStyle w:val="TableParagraph"/>
              <w:spacing w:line="315" w:lineRule="exact"/>
              <w:rPr>
                <w:b/>
                <w:bCs/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Grundlagen der </w:t>
            </w:r>
            <w:r w:rsidR="00B85380" w:rsidRPr="00B85380">
              <w:rPr>
                <w:sz w:val="24"/>
                <w:szCs w:val="24"/>
              </w:rPr>
              <w:t xml:space="preserve">deutschen </w:t>
            </w:r>
            <w:proofErr w:type="spellStart"/>
            <w:r w:rsidR="00B85380" w:rsidRPr="00B85380">
              <w:rPr>
                <w:sz w:val="24"/>
                <w:szCs w:val="24"/>
              </w:rPr>
              <w:t>rechtschreibung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sz w:val="24"/>
                <w:szCs w:val="24"/>
              </w:rPr>
              <w:t>lautbildung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: vokale und konsonanten, </w:t>
            </w:r>
            <w:proofErr w:type="spellStart"/>
            <w:r w:rsidR="00B85380" w:rsidRPr="00B85380">
              <w:rPr>
                <w:sz w:val="24"/>
                <w:szCs w:val="24"/>
              </w:rPr>
              <w:t>betonung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sz w:val="24"/>
                <w:szCs w:val="24"/>
              </w:rPr>
              <w:t>silben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sz w:val="24"/>
                <w:szCs w:val="24"/>
              </w:rPr>
              <w:t>intonation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sz w:val="24"/>
                <w:szCs w:val="24"/>
              </w:rPr>
              <w:t>lautschrift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sz w:val="24"/>
                <w:szCs w:val="24"/>
              </w:rPr>
              <w:t>artikulation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 von lauten, phonetischer und phonologischer </w:t>
            </w:r>
            <w:proofErr w:type="spellStart"/>
            <w:r w:rsidR="00B85380" w:rsidRPr="00B85380">
              <w:rPr>
                <w:sz w:val="24"/>
                <w:szCs w:val="24"/>
              </w:rPr>
              <w:t>kontrast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, </w:t>
            </w:r>
            <w:proofErr w:type="spellStart"/>
            <w:r w:rsidR="00B85380" w:rsidRPr="00B85380">
              <w:rPr>
                <w:sz w:val="24"/>
                <w:szCs w:val="24"/>
              </w:rPr>
              <w:t>klassifizierung</w:t>
            </w:r>
            <w:proofErr w:type="spellEnd"/>
            <w:r w:rsidR="00B85380" w:rsidRPr="00B85380">
              <w:rPr>
                <w:sz w:val="24"/>
                <w:szCs w:val="24"/>
              </w:rPr>
              <w:t xml:space="preserve"> von lauten.</w:t>
            </w:r>
          </w:p>
        </w:tc>
        <w:tc>
          <w:tcPr>
            <w:tcW w:w="1417" w:type="dxa"/>
            <w:vMerge w:val="restart"/>
          </w:tcPr>
          <w:p w14:paraId="72E3756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1B4E2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</w:p>
        </w:tc>
        <w:tc>
          <w:tcPr>
            <w:tcW w:w="709" w:type="dxa"/>
          </w:tcPr>
          <w:p w14:paraId="0192EDE4" w14:textId="0D15D8FB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7E35B328" w14:textId="77777777" w:rsidTr="00C27E8F">
        <w:tc>
          <w:tcPr>
            <w:tcW w:w="421" w:type="dxa"/>
            <w:vMerge/>
          </w:tcPr>
          <w:p w14:paraId="78C158F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C802D58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58427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F9A8B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B43A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</w:p>
        </w:tc>
        <w:tc>
          <w:tcPr>
            <w:tcW w:w="709" w:type="dxa"/>
          </w:tcPr>
          <w:p w14:paraId="74EE8A1F" w14:textId="02E60D54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70D64F48" w14:textId="77777777" w:rsidTr="00C27E8F">
        <w:tc>
          <w:tcPr>
            <w:tcW w:w="421" w:type="dxa"/>
            <w:vMerge/>
          </w:tcPr>
          <w:p w14:paraId="6D26F4F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A8FEC04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E5E11E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E2549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4E89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</w:p>
        </w:tc>
        <w:tc>
          <w:tcPr>
            <w:tcW w:w="709" w:type="dxa"/>
          </w:tcPr>
          <w:p w14:paraId="64ECF094" w14:textId="069C8E80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0F518BA3" w14:textId="77777777" w:rsidTr="00C27E8F">
        <w:tc>
          <w:tcPr>
            <w:tcW w:w="421" w:type="dxa"/>
            <w:vMerge/>
          </w:tcPr>
          <w:p w14:paraId="68AC5E1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37A35A2C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0C7297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8DBDA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07A5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</w:p>
        </w:tc>
        <w:tc>
          <w:tcPr>
            <w:tcW w:w="709" w:type="dxa"/>
          </w:tcPr>
          <w:p w14:paraId="205245E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749A5CD8" w14:textId="77777777" w:rsidTr="00C27E8F">
        <w:tc>
          <w:tcPr>
            <w:tcW w:w="421" w:type="dxa"/>
            <w:vMerge w:val="restart"/>
          </w:tcPr>
          <w:p w14:paraId="4666AD5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</w:tcPr>
          <w:p w14:paraId="6C14436F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MORPHOLOGIE</w:t>
            </w:r>
          </w:p>
        </w:tc>
        <w:tc>
          <w:tcPr>
            <w:tcW w:w="3686" w:type="dxa"/>
            <w:vMerge w:val="restart"/>
          </w:tcPr>
          <w:p w14:paraId="606BE3F2" w14:textId="74EBA154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Grundbestandteile; </w:t>
            </w:r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freie und gebundene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morpheme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;</w:t>
            </w:r>
            <w:r w:rsid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wortbildung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morphologische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prozesse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grammatische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kategorien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morphologische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typologie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morphologische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1417" w:type="dxa"/>
            <w:vMerge w:val="restart"/>
          </w:tcPr>
          <w:p w14:paraId="2614A70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58E23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Wissen</w:t>
            </w:r>
          </w:p>
        </w:tc>
        <w:tc>
          <w:tcPr>
            <w:tcW w:w="709" w:type="dxa"/>
          </w:tcPr>
          <w:p w14:paraId="49EBC2BB" w14:textId="6B52C7F2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3A372E21" w14:textId="77777777" w:rsidTr="00C27E8F">
        <w:tc>
          <w:tcPr>
            <w:tcW w:w="421" w:type="dxa"/>
            <w:vMerge/>
          </w:tcPr>
          <w:p w14:paraId="60E8B8C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B04F910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8D3CE0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94B08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3E7EF" w14:textId="0E78D3D0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F256F99" w14:textId="20D69ED3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3DC76D9C" w14:textId="77777777" w:rsidTr="00C27E8F">
        <w:tc>
          <w:tcPr>
            <w:tcW w:w="421" w:type="dxa"/>
            <w:vMerge/>
          </w:tcPr>
          <w:p w14:paraId="71F187E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9F74936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EC0818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36A50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627B4" w14:textId="7C9A29D5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330E11A3" w14:textId="2E0C1E4E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05D8ED2C" w14:textId="77777777" w:rsidTr="00C27E8F">
        <w:tc>
          <w:tcPr>
            <w:tcW w:w="421" w:type="dxa"/>
            <w:vMerge/>
          </w:tcPr>
          <w:p w14:paraId="26C4D9E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8E76F44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1A47E7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93566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63403" w14:textId="628BAB87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CE6305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25EF2BB9" w14:textId="77777777" w:rsidTr="00C27E8F">
        <w:tc>
          <w:tcPr>
            <w:tcW w:w="421" w:type="dxa"/>
            <w:vMerge w:val="restart"/>
          </w:tcPr>
          <w:p w14:paraId="6E0F5E9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vMerge w:val="restart"/>
          </w:tcPr>
          <w:p w14:paraId="5EAD9EA0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SYNTAX</w:t>
            </w:r>
          </w:p>
        </w:tc>
        <w:tc>
          <w:tcPr>
            <w:tcW w:w="3686" w:type="dxa"/>
            <w:vMerge w:val="restart"/>
          </w:tcPr>
          <w:p w14:paraId="45AB480D" w14:textId="02AC41AF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Grundelemente;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wortarten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sätzen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phrasenstruktur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wortstellung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satzarten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nebensätze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: haupt-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nebensätze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; grundlegende syntaktische bäume</w:t>
            </w:r>
          </w:p>
        </w:tc>
        <w:tc>
          <w:tcPr>
            <w:tcW w:w="1417" w:type="dxa"/>
            <w:vMerge w:val="restart"/>
          </w:tcPr>
          <w:p w14:paraId="56F7F21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0F2E42" w14:textId="7463309F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3E6E3B8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7E56626B" w14:textId="77777777" w:rsidTr="00C27E8F">
        <w:tc>
          <w:tcPr>
            <w:tcW w:w="421" w:type="dxa"/>
            <w:vMerge/>
          </w:tcPr>
          <w:p w14:paraId="636D308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EEC4A9D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9F76E7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5651D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F0B10" w14:textId="572D3AD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70A829BE" w14:textId="10DBBA4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7402A4EA" w14:textId="77777777" w:rsidTr="00C27E8F">
        <w:tc>
          <w:tcPr>
            <w:tcW w:w="421" w:type="dxa"/>
            <w:vMerge/>
          </w:tcPr>
          <w:p w14:paraId="530AA19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9E5643C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04337D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C268C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B9308" w14:textId="39590EA2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16847ED6" w14:textId="2324FB52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1588945A" w14:textId="77777777" w:rsidTr="00C27E8F">
        <w:tc>
          <w:tcPr>
            <w:tcW w:w="421" w:type="dxa"/>
            <w:vMerge/>
          </w:tcPr>
          <w:p w14:paraId="247DA8A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3BC146B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68091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3278D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3ECF5" w14:textId="304A5122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74B66D36" w14:textId="549ACCA8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79DEFF56" w14:textId="77777777" w:rsidTr="00C27E8F">
        <w:tc>
          <w:tcPr>
            <w:tcW w:w="421" w:type="dxa"/>
            <w:vMerge w:val="restart"/>
          </w:tcPr>
          <w:p w14:paraId="33AFEB2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vMerge w:val="restart"/>
          </w:tcPr>
          <w:p w14:paraId="7EDE1D2C" w14:textId="77777777" w:rsidR="002C6087" w:rsidRPr="00B85380" w:rsidRDefault="002C6087" w:rsidP="009C501B">
            <w:pPr>
              <w:pStyle w:val="TableParagraph"/>
              <w:tabs>
                <w:tab w:val="left" w:pos="601"/>
              </w:tabs>
              <w:spacing w:line="307" w:lineRule="exact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PRAGMATIK</w:t>
            </w:r>
          </w:p>
          <w:p w14:paraId="2A121C8B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13DDC835" w14:textId="02245758" w:rsidR="002C6087" w:rsidRPr="00B85380" w:rsidRDefault="002C6087" w:rsidP="00B85380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Sprechakte;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implikatur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präsupposition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deixis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kontext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bedeutung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höflichkeits- und </w:t>
            </w:r>
            <w:proofErr w:type="spellStart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gesichtstheorie</w:t>
            </w:r>
            <w:proofErr w:type="spellEnd"/>
            <w:r w:rsidR="00B85380" w:rsidRPr="00B853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64636" w14:textId="35068398" w:rsidR="002C6087" w:rsidRPr="00B85380" w:rsidRDefault="00B85380" w:rsidP="00B85380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gesprächsstruktur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pragmatische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kompetenz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interkulturelle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pragmatik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diskurs</w:t>
            </w:r>
            <w:proofErr w:type="spellEnd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pragmatik</w:t>
            </w:r>
            <w:proofErr w:type="spellEnd"/>
          </w:p>
        </w:tc>
        <w:tc>
          <w:tcPr>
            <w:tcW w:w="1417" w:type="dxa"/>
            <w:vMerge w:val="restart"/>
          </w:tcPr>
          <w:p w14:paraId="0ED05ED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AD3DE35" w14:textId="4F10CA7A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D00919C" w14:textId="089824B6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23443D12" w14:textId="77777777" w:rsidTr="00C27E8F">
        <w:tc>
          <w:tcPr>
            <w:tcW w:w="421" w:type="dxa"/>
            <w:vMerge/>
          </w:tcPr>
          <w:p w14:paraId="7AF6752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BF892F5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A2AB9B6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236CD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4036B" w14:textId="433AB08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40D4155C" w14:textId="55FAAE24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06399B4A" w14:textId="77777777" w:rsidTr="00C27E8F">
        <w:tc>
          <w:tcPr>
            <w:tcW w:w="421" w:type="dxa"/>
            <w:vMerge/>
          </w:tcPr>
          <w:p w14:paraId="0BE79C6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F68E6FA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671D57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163AF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14403" w14:textId="3A886F13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47FB13F6" w14:textId="0B925574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59DAD97D" w14:textId="77777777" w:rsidTr="00C27E8F">
        <w:tc>
          <w:tcPr>
            <w:tcW w:w="421" w:type="dxa"/>
            <w:vMerge/>
          </w:tcPr>
          <w:p w14:paraId="6B070DF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8AFC3C1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9F582E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AABB5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0FA80" w14:textId="4386654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4BF6E5C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7D47D447" w14:textId="77777777" w:rsidTr="00C27E8F">
        <w:tc>
          <w:tcPr>
            <w:tcW w:w="421" w:type="dxa"/>
            <w:vMerge w:val="restart"/>
          </w:tcPr>
          <w:p w14:paraId="3BD67F7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vMerge w:val="restart"/>
          </w:tcPr>
          <w:p w14:paraId="2EE46653" w14:textId="05054A49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SOZIOLINGUISTI​</w:t>
            </w:r>
            <w:r w:rsidR="00206014"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686" w:type="dxa"/>
            <w:vMerge w:val="restart"/>
          </w:tcPr>
          <w:p w14:paraId="0B36482F" w14:textId="2F167113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Sprache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gesellschaft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dialekte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sprachvarietäten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mehrsprachigkeit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code-switching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identität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sprachwandel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geschlecht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macht;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spracheinstellungen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sprachplanung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und -politik; </w:t>
            </w:r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soziolinguistische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kompetenz</w:t>
            </w:r>
            <w:proofErr w:type="spellEnd"/>
          </w:p>
        </w:tc>
        <w:tc>
          <w:tcPr>
            <w:tcW w:w="1417" w:type="dxa"/>
            <w:vMerge w:val="restart"/>
          </w:tcPr>
          <w:p w14:paraId="3C7BF83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7AEEE25F" w14:textId="75B6994E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396F48C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646A6C1D" w14:textId="77777777" w:rsidTr="00C27E8F">
        <w:tc>
          <w:tcPr>
            <w:tcW w:w="421" w:type="dxa"/>
            <w:vMerge/>
          </w:tcPr>
          <w:p w14:paraId="47A7ADC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6C2095B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CED90A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D3DB3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8CD64A" w14:textId="7C3F76E6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0805DFE1" w14:textId="75AABF02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252F1370" w14:textId="77777777" w:rsidTr="00C27E8F">
        <w:tc>
          <w:tcPr>
            <w:tcW w:w="421" w:type="dxa"/>
            <w:vMerge/>
          </w:tcPr>
          <w:p w14:paraId="61C28946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F191C1E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158950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58DC4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7108A" w14:textId="7799958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141282C2" w14:textId="5912C9CB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31B8D82C" w14:textId="77777777" w:rsidTr="00C27E8F">
        <w:tc>
          <w:tcPr>
            <w:tcW w:w="421" w:type="dxa"/>
            <w:vMerge/>
          </w:tcPr>
          <w:p w14:paraId="1A0963B1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5423305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AC501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892CD6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A0D92" w14:textId="479068BB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68376F61" w14:textId="2D6335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B5E80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06B93B07" w14:textId="77777777" w:rsidTr="00C27E8F">
        <w:tc>
          <w:tcPr>
            <w:tcW w:w="421" w:type="dxa"/>
            <w:vMerge w:val="restart"/>
          </w:tcPr>
          <w:p w14:paraId="1B49D41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vMerge w:val="restart"/>
          </w:tcPr>
          <w:p w14:paraId="7A5A7AD3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LEXIK</w:t>
            </w:r>
          </w:p>
        </w:tc>
        <w:tc>
          <w:tcPr>
            <w:tcW w:w="3686" w:type="dxa"/>
            <w:vMerge w:val="restart"/>
          </w:tcPr>
          <w:p w14:paraId="7C26F63F" w14:textId="2A3CE093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Wortbildungsprozesse; </w:t>
            </w:r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lexikalische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semantik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kollokationen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idiomatische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lexikalische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felder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semantische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felder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stil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lexikalische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entlehnung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neologismen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technologischer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einfluss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lexikalische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variation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wandel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wörterbücher</w:t>
            </w:r>
            <w:proofErr w:type="spellEnd"/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5380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vMerge w:val="restart"/>
          </w:tcPr>
          <w:p w14:paraId="7DC1C9F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E6EFFE6" w14:textId="707ABAC3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35BE05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7E7DF1E7" w14:textId="77777777" w:rsidTr="00C27E8F">
        <w:tc>
          <w:tcPr>
            <w:tcW w:w="421" w:type="dxa"/>
            <w:vMerge/>
          </w:tcPr>
          <w:p w14:paraId="0B1A267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542F33C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47A014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8F5796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FCCDE" w14:textId="6CA0B829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C031D0A" w14:textId="5C9D6DCE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17443E7E" w14:textId="77777777" w:rsidTr="00C27E8F">
        <w:tc>
          <w:tcPr>
            <w:tcW w:w="421" w:type="dxa"/>
            <w:vMerge/>
          </w:tcPr>
          <w:p w14:paraId="40B632F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8CEE85B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4B4B9B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46307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F51C0" w14:textId="0174A67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6DB015E1" w14:textId="3B410D76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6109E6C7" w14:textId="77777777" w:rsidTr="00C27E8F">
        <w:tc>
          <w:tcPr>
            <w:tcW w:w="421" w:type="dxa"/>
            <w:vMerge/>
          </w:tcPr>
          <w:p w14:paraId="301E350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1E50B70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AF47C84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59899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0B4E1" w14:textId="0807051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14281713" w14:textId="3ACE48F0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3F29AFFA" w14:textId="77777777" w:rsidTr="00C27E8F">
        <w:tc>
          <w:tcPr>
            <w:tcW w:w="421" w:type="dxa"/>
            <w:vMerge/>
          </w:tcPr>
          <w:p w14:paraId="53E746F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A9985E8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EB306E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1B80F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E4E8E" w14:textId="7A0CF23F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A886F7B" w14:textId="69FCB291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87" w:rsidRPr="00B85380" w14:paraId="240FB168" w14:textId="77777777" w:rsidTr="00C27E8F">
        <w:tc>
          <w:tcPr>
            <w:tcW w:w="421" w:type="dxa"/>
            <w:vMerge/>
          </w:tcPr>
          <w:p w14:paraId="3D50F20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562833C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517C9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24DCD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8B184" w14:textId="3650246F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7AFF027F" w14:textId="301221C1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87" w:rsidRPr="00B85380" w14:paraId="7DF20F12" w14:textId="77777777" w:rsidTr="00C27E8F">
        <w:tc>
          <w:tcPr>
            <w:tcW w:w="421" w:type="dxa"/>
            <w:vMerge w:val="restart"/>
          </w:tcPr>
          <w:p w14:paraId="0915B29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vMerge w:val="restart"/>
          </w:tcPr>
          <w:p w14:paraId="2070C2C4" w14:textId="77777777" w:rsidR="002C6087" w:rsidRPr="00B85380" w:rsidRDefault="002C6087" w:rsidP="009C501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Leseverständnis</w:t>
            </w:r>
          </w:p>
        </w:tc>
        <w:tc>
          <w:tcPr>
            <w:tcW w:w="3686" w:type="dxa"/>
            <w:vMerge w:val="restart"/>
          </w:tcPr>
          <w:p w14:paraId="20EC9B5E" w14:textId="5C1CA455" w:rsidR="002C6087" w:rsidRPr="00B85380" w:rsidRDefault="00A83EEF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Globales</w:t>
            </w:r>
            <w:r w:rsidR="002C6087" w:rsidRPr="00B85380">
              <w:rPr>
                <w:rFonts w:ascii="Times New Roman" w:eastAsia="Times New Roman" w:hAnsi="Times New Roman" w:cs="Times New Roman"/>
                <w:sz w:val="24"/>
                <w:szCs w:val="24"/>
              </w:rPr>
              <w:t>; Scannen; Lesen auf das Wesentliche; Lesen auf Details; Erkennen von Hauptideen; Erkennen von unterstützenden Details; Ziehen von Schlussfolgerungen; Vorhersagen von Ergebnissen; Verstehen von Vokabeln im Kontext; Erkennen von Organisationsmustern; Verstehen von Textzusammenhängen; Analysieren von Absicht, Haltung oder Ton des Autors; Erkennen von Fakten und Meinungen; Zusammenfassen; Kritisches Lesen</w:t>
            </w:r>
          </w:p>
        </w:tc>
        <w:tc>
          <w:tcPr>
            <w:tcW w:w="1417" w:type="dxa"/>
            <w:vMerge w:val="restart"/>
          </w:tcPr>
          <w:p w14:paraId="3011278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D268A10" w14:textId="7E3069C4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6A8B52BD" w14:textId="6774F304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87" w:rsidRPr="00B85380" w14:paraId="56BCFA92" w14:textId="77777777" w:rsidTr="00C27E8F">
        <w:tc>
          <w:tcPr>
            <w:tcW w:w="421" w:type="dxa"/>
            <w:vMerge/>
          </w:tcPr>
          <w:p w14:paraId="4A3933C1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F8343A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9C78E5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ACD20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18338" w14:textId="6BCEFF5A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6113FC25" w14:textId="4FBC2498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87" w:rsidRPr="00B85380" w14:paraId="3BC35CAB" w14:textId="77777777" w:rsidTr="00C27E8F">
        <w:tc>
          <w:tcPr>
            <w:tcW w:w="421" w:type="dxa"/>
            <w:vMerge/>
          </w:tcPr>
          <w:p w14:paraId="2AE598C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52370D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BAD0B2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91943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09D2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Analysieren</w:t>
            </w:r>
          </w:p>
        </w:tc>
        <w:tc>
          <w:tcPr>
            <w:tcW w:w="709" w:type="dxa"/>
          </w:tcPr>
          <w:p w14:paraId="00C90B4E" w14:textId="20DC1379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87" w:rsidRPr="00B85380" w14:paraId="01DA61BE" w14:textId="77777777" w:rsidTr="00C27E8F">
        <w:tc>
          <w:tcPr>
            <w:tcW w:w="421" w:type="dxa"/>
            <w:vMerge/>
          </w:tcPr>
          <w:p w14:paraId="50C6E1D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8D2D29D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AE6C54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9F79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0C9021" w14:textId="17EECFAF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5002433D" w14:textId="7FCE9CD1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2C5F419E" w14:textId="77777777" w:rsidTr="00C27E8F">
        <w:tc>
          <w:tcPr>
            <w:tcW w:w="421" w:type="dxa"/>
            <w:vMerge/>
          </w:tcPr>
          <w:p w14:paraId="31E45CB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0C49B4B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863E1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0830B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2108A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Analysieren</w:t>
            </w:r>
          </w:p>
        </w:tc>
        <w:tc>
          <w:tcPr>
            <w:tcW w:w="709" w:type="dxa"/>
          </w:tcPr>
          <w:p w14:paraId="18811DC1" w14:textId="5368D8FF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5E1B2687" w14:textId="77777777" w:rsidTr="00C27E8F">
        <w:tc>
          <w:tcPr>
            <w:tcW w:w="421" w:type="dxa"/>
            <w:vMerge/>
          </w:tcPr>
          <w:p w14:paraId="5D65265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C7C863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0359EB6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165E7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2FDD5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Analysieren</w:t>
            </w:r>
          </w:p>
        </w:tc>
        <w:tc>
          <w:tcPr>
            <w:tcW w:w="709" w:type="dxa"/>
          </w:tcPr>
          <w:p w14:paraId="24409EDC" w14:textId="1CF26C36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24CB9117" w14:textId="77777777" w:rsidTr="00C27E8F">
        <w:tc>
          <w:tcPr>
            <w:tcW w:w="421" w:type="dxa"/>
            <w:vMerge/>
          </w:tcPr>
          <w:p w14:paraId="52A1E341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7982921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36E9BC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5ACB0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BAC0D" w14:textId="4D9CB763" w:rsidR="002C6087" w:rsidRPr="00B85380" w:rsidRDefault="006F0353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Verwenden</w:t>
            </w:r>
          </w:p>
        </w:tc>
        <w:tc>
          <w:tcPr>
            <w:tcW w:w="709" w:type="dxa"/>
          </w:tcPr>
          <w:p w14:paraId="417446C3" w14:textId="529055D6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14EA" w:rsidRPr="00B85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087" w:rsidRPr="00B85380" w14:paraId="16C33BCA" w14:textId="77777777" w:rsidTr="00C27E8F">
        <w:tc>
          <w:tcPr>
            <w:tcW w:w="421" w:type="dxa"/>
            <w:vMerge/>
          </w:tcPr>
          <w:p w14:paraId="3089E890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35ABA18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4614B6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969C8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11A99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Analysieren</w:t>
            </w:r>
          </w:p>
        </w:tc>
        <w:tc>
          <w:tcPr>
            <w:tcW w:w="709" w:type="dxa"/>
          </w:tcPr>
          <w:p w14:paraId="69665B23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0EF60930" w14:textId="77777777" w:rsidTr="00C27E8F">
        <w:tc>
          <w:tcPr>
            <w:tcW w:w="421" w:type="dxa"/>
            <w:vMerge/>
          </w:tcPr>
          <w:p w14:paraId="5AD96157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0781FD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B6A881E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F4E142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26C48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Analysieren</w:t>
            </w:r>
          </w:p>
        </w:tc>
        <w:tc>
          <w:tcPr>
            <w:tcW w:w="709" w:type="dxa"/>
          </w:tcPr>
          <w:p w14:paraId="79B0CEAF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2C6087" w:rsidRPr="00B85380" w14:paraId="7E5EDA88" w14:textId="77777777" w:rsidTr="00C27E8F">
        <w:tc>
          <w:tcPr>
            <w:tcW w:w="5637" w:type="dxa"/>
            <w:gridSpan w:val="3"/>
          </w:tcPr>
          <w:p w14:paraId="0FCB226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Gesamt:</w:t>
            </w:r>
          </w:p>
        </w:tc>
        <w:tc>
          <w:tcPr>
            <w:tcW w:w="3685" w:type="dxa"/>
            <w:gridSpan w:val="3"/>
          </w:tcPr>
          <w:p w14:paraId="7EF4549C" w14:textId="77777777" w:rsidR="002C6087" w:rsidRPr="00B85380" w:rsidRDefault="002C6087" w:rsidP="00B8538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14:paraId="17F288F9" w14:textId="2C553F73" w:rsidR="002C6087" w:rsidRPr="00B85380" w:rsidRDefault="002C6087" w:rsidP="00B853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Hinweis </w:t>
      </w:r>
      <w:r w:rsidR="00283796"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3:</w:t>
      </w:r>
      <w:r w:rsidRPr="00B8538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 </w:t>
      </w:r>
      <w:r w:rsidRPr="00B85380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Basierend auf den Ergebnissen der Pilottests und wissenschaftlich fundierter Analysen werden relevante Anpassungen an den oben genannten Testindikatoren (wie Anzahl und Art der Testaufgaben, Schwierigkeitsgrad usw.) vorgenommen.</w:t>
      </w:r>
    </w:p>
    <w:p w14:paraId="4E7D6BC8" w14:textId="04A45B50" w:rsidR="002C6087" w:rsidRPr="009C501B" w:rsidRDefault="002C6087" w:rsidP="00B85380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Vergleichende Indikatoren der Testteile zur Erfassung von Kenntnissen und Fähigkeiten im Fach Deutsch</w:t>
      </w:r>
      <w:r w:rsidR="005954C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 xml:space="preserve"> als Fremdsprache</w:t>
      </w:r>
    </w:p>
    <w:tbl>
      <w:tblPr>
        <w:tblStyle w:val="TableNormal"/>
        <w:tblW w:w="94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1299"/>
        <w:gridCol w:w="1059"/>
        <w:gridCol w:w="1134"/>
        <w:gridCol w:w="1276"/>
        <w:gridCol w:w="1843"/>
      </w:tblGrid>
      <w:tr w:rsidR="002C6087" w:rsidRPr="00B85380" w14:paraId="55ED3C3B" w14:textId="77777777" w:rsidTr="00C27E8F">
        <w:trPr>
          <w:cantSplit/>
          <w:trHeight w:val="953"/>
        </w:trPr>
        <w:tc>
          <w:tcPr>
            <w:tcW w:w="2877" w:type="dxa"/>
          </w:tcPr>
          <w:p w14:paraId="3C9CC1C1" w14:textId="77777777" w:rsidR="002C6087" w:rsidRPr="00B85380" w:rsidRDefault="002C6087" w:rsidP="000D7C0E">
            <w:pPr>
              <w:pStyle w:val="TableParagraph"/>
              <w:tabs>
                <w:tab w:val="left" w:pos="865"/>
              </w:tabs>
              <w:ind w:left="105" w:right="96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Testabschnitte</w:t>
            </w:r>
            <w:r w:rsidRPr="00B85380">
              <w:rPr>
                <w:b/>
                <w:sz w:val="24"/>
                <w:szCs w:val="24"/>
              </w:rPr>
              <w:tab/>
            </w:r>
            <w:r w:rsidRPr="00B85380">
              <w:rPr>
                <w:b/>
                <w:spacing w:val="-1"/>
                <w:sz w:val="24"/>
                <w:szCs w:val="24"/>
              </w:rPr>
              <w:t>​</w:t>
            </w:r>
          </w:p>
        </w:tc>
        <w:tc>
          <w:tcPr>
            <w:tcW w:w="1299" w:type="dxa"/>
          </w:tcPr>
          <w:p w14:paraId="64C1EABE" w14:textId="77777777" w:rsidR="002C6087" w:rsidRPr="00B85380" w:rsidRDefault="002C6087" w:rsidP="000D7C0E">
            <w:pPr>
              <w:pStyle w:val="TableParagraph"/>
              <w:spacing w:line="0" w:lineRule="atLeast"/>
              <w:ind w:left="108" w:right="112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Inhaltsbereiche</w:t>
            </w:r>
          </w:p>
          <w:p w14:paraId="7E576EDC" w14:textId="77777777" w:rsidR="002C6087" w:rsidRPr="00B85380" w:rsidRDefault="002C6087" w:rsidP="000D7C0E">
            <w:pPr>
              <w:pStyle w:val="TableParagraph"/>
              <w:spacing w:line="0" w:lineRule="atLeast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14:paraId="7B44E714" w14:textId="77777777" w:rsidR="002C6087" w:rsidRPr="00B85380" w:rsidRDefault="002C6087" w:rsidP="000D7C0E">
            <w:pPr>
              <w:pStyle w:val="TableParagraph"/>
              <w:ind w:left="109" w:right="182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Anzahl der Aufgaben</w:t>
            </w:r>
          </w:p>
        </w:tc>
        <w:tc>
          <w:tcPr>
            <w:tcW w:w="1134" w:type="dxa"/>
          </w:tcPr>
          <w:p w14:paraId="1D61DF88" w14:textId="77777777" w:rsidR="002C6087" w:rsidRPr="00B85380" w:rsidRDefault="002C6087" w:rsidP="000D7C0E">
            <w:pPr>
              <w:pStyle w:val="TableParagraph"/>
              <w:ind w:left="108" w:right="119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Zugewiesene Zeit</w:t>
            </w:r>
          </w:p>
        </w:tc>
        <w:tc>
          <w:tcPr>
            <w:tcW w:w="1276" w:type="dxa"/>
          </w:tcPr>
          <w:p w14:paraId="4EC92239" w14:textId="77777777" w:rsidR="002C6087" w:rsidRPr="00B85380" w:rsidRDefault="002C6087" w:rsidP="000D7C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Zugewiesene Punktzahl</w:t>
            </w:r>
          </w:p>
        </w:tc>
        <w:tc>
          <w:tcPr>
            <w:tcW w:w="1843" w:type="dxa"/>
          </w:tcPr>
          <w:p w14:paraId="1532B8EE" w14:textId="77777777" w:rsidR="002C6087" w:rsidRPr="00B85380" w:rsidRDefault="002C6087" w:rsidP="000D7C0E">
            <w:pPr>
              <w:pStyle w:val="TableParagraph"/>
              <w:ind w:left="109" w:right="232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Kognitiver Aktivitätstyp</w:t>
            </w:r>
          </w:p>
        </w:tc>
      </w:tr>
      <w:tr w:rsidR="002C6087" w:rsidRPr="00B85380" w14:paraId="62B08C8F" w14:textId="77777777" w:rsidTr="00C27E8F">
        <w:trPr>
          <w:trHeight w:val="1106"/>
        </w:trPr>
        <w:tc>
          <w:tcPr>
            <w:tcW w:w="2877" w:type="dxa"/>
          </w:tcPr>
          <w:p w14:paraId="092C7F00" w14:textId="6C5B0E9E" w:rsidR="002C6087" w:rsidRPr="00B85380" w:rsidRDefault="002C6087" w:rsidP="000D7C0E">
            <w:pPr>
              <w:pStyle w:val="TableParagraph"/>
              <w:tabs>
                <w:tab w:val="left" w:pos="632"/>
              </w:tabs>
              <w:ind w:left="105" w:right="96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Beurteilung der allgemeinen Deutschkenntnisse der Lehrkraft</w:t>
            </w:r>
          </w:p>
        </w:tc>
        <w:tc>
          <w:tcPr>
            <w:tcW w:w="1299" w:type="dxa"/>
          </w:tcPr>
          <w:p w14:paraId="0B10D521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I-VII</w:t>
            </w:r>
          </w:p>
        </w:tc>
        <w:tc>
          <w:tcPr>
            <w:tcW w:w="1059" w:type="dxa"/>
          </w:tcPr>
          <w:p w14:paraId="1FCD1A53" w14:textId="77777777" w:rsidR="002C6087" w:rsidRPr="00B85380" w:rsidRDefault="002C6087" w:rsidP="000D7C0E">
            <w:pPr>
              <w:pStyle w:val="TableParagraph"/>
              <w:ind w:left="109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A7792A2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78411854" w14:textId="77777777" w:rsidR="002C6087" w:rsidRPr="00B85380" w:rsidRDefault="002C6087" w:rsidP="000D7C0E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744F59A8" w14:textId="2B52F269" w:rsidR="002C6087" w:rsidRPr="00B85380" w:rsidRDefault="00504C9A" w:rsidP="000D7C0E">
            <w:pPr>
              <w:pStyle w:val="TableParagraph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Wissen</w:t>
            </w:r>
            <w:r w:rsidR="002C6087" w:rsidRPr="00B85380">
              <w:rPr>
                <w:sz w:val="24"/>
                <w:szCs w:val="24"/>
              </w:rPr>
              <w:t xml:space="preserve"> - 5</w:t>
            </w:r>
          </w:p>
          <w:p w14:paraId="232F67B6" w14:textId="3FD60A6B" w:rsidR="002C6087" w:rsidRPr="00B85380" w:rsidRDefault="006F0353" w:rsidP="000D7C0E">
            <w:pPr>
              <w:pStyle w:val="TableParagraph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Verwenden</w:t>
            </w:r>
            <w:r w:rsidR="002C6087" w:rsidRPr="00B85380">
              <w:rPr>
                <w:sz w:val="24"/>
                <w:szCs w:val="24"/>
              </w:rPr>
              <w:t xml:space="preserve"> - 25</w:t>
            </w:r>
          </w:p>
          <w:p w14:paraId="6CAA7753" w14:textId="77777777" w:rsidR="002C6087" w:rsidRPr="00B85380" w:rsidRDefault="002C6087" w:rsidP="000D7C0E">
            <w:pPr>
              <w:pStyle w:val="TableParagraph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Analysieren - 5</w:t>
            </w:r>
          </w:p>
        </w:tc>
      </w:tr>
    </w:tbl>
    <w:p w14:paraId="2A0D28E3" w14:textId="1B349ADF" w:rsidR="002C6087" w:rsidRPr="009C501B" w:rsidRDefault="00670C29" w:rsidP="009C501B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Kodifizieren</w:t>
      </w:r>
      <w:r w:rsid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Cyrl-UZ"/>
          <w14:ligatures w14:val="standardContextual"/>
        </w:rPr>
        <w:t xml:space="preserve"> </w:t>
      </w:r>
      <w:r w:rsidR="002C6087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14:ligatures w14:val="standardContextual"/>
        </w:rPr>
        <w:t>für Deutsch-Sprachtestaufgaben zur Lehrerzertifizierung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503"/>
        <w:gridCol w:w="6672"/>
      </w:tblGrid>
      <w:tr w:rsidR="002C6087" w:rsidRPr="00B85380" w14:paraId="4A4434A6" w14:textId="77777777" w:rsidTr="00C27E8F">
        <w:trPr>
          <w:trHeight w:val="1269"/>
        </w:trPr>
        <w:tc>
          <w:tcPr>
            <w:tcW w:w="1171" w:type="dxa"/>
          </w:tcPr>
          <w:p w14:paraId="55E64542" w14:textId="77777777" w:rsidR="002C6087" w:rsidRPr="00B85380" w:rsidRDefault="002C6087" w:rsidP="000D7C0E">
            <w:pPr>
              <w:pStyle w:val="TableParagraph"/>
              <w:ind w:left="107" w:right="173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Wissensbereichscode</w:t>
            </w:r>
          </w:p>
        </w:tc>
        <w:tc>
          <w:tcPr>
            <w:tcW w:w="1503" w:type="dxa"/>
          </w:tcPr>
          <w:p w14:paraId="7DFBE909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Bewertung des Inhaltselementcodes</w:t>
            </w:r>
          </w:p>
        </w:tc>
        <w:tc>
          <w:tcPr>
            <w:tcW w:w="6672" w:type="dxa"/>
          </w:tcPr>
          <w:p w14:paraId="44280C55" w14:textId="77777777" w:rsidR="002C6087" w:rsidRPr="00B85380" w:rsidRDefault="002C6087" w:rsidP="000D7C0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4F6E01B4" w14:textId="77777777" w:rsidR="002C6087" w:rsidRPr="00B85380" w:rsidRDefault="002C6087" w:rsidP="000D7C0E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Im Test bewertetes Inhaltselement</w:t>
            </w:r>
          </w:p>
        </w:tc>
      </w:tr>
      <w:tr w:rsidR="002C6087" w:rsidRPr="00B85380" w14:paraId="5667C0B7" w14:textId="77777777" w:rsidTr="00C27E8F">
        <w:trPr>
          <w:trHeight w:val="278"/>
        </w:trPr>
        <w:tc>
          <w:tcPr>
            <w:tcW w:w="1171" w:type="dxa"/>
          </w:tcPr>
          <w:p w14:paraId="35A4B17A" w14:textId="7E9D2B75" w:rsidR="002C6087" w:rsidRPr="00B85380" w:rsidRDefault="002C6087" w:rsidP="000D7C0E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8175" w:type="dxa"/>
            <w:gridSpan w:val="2"/>
          </w:tcPr>
          <w:p w14:paraId="0A3961C0" w14:textId="091D2BC6" w:rsidR="002C6087" w:rsidRPr="00B85380" w:rsidRDefault="002C6087" w:rsidP="000D7C0E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PHONETI</w:t>
            </w:r>
            <w:r w:rsidR="006E71BE" w:rsidRPr="00B85380">
              <w:rPr>
                <w:b/>
                <w:sz w:val="24"/>
                <w:szCs w:val="24"/>
              </w:rPr>
              <w:t>K</w:t>
            </w:r>
            <w:r w:rsidRPr="00B85380">
              <w:rPr>
                <w:b/>
                <w:sz w:val="24"/>
                <w:szCs w:val="24"/>
              </w:rPr>
              <w:t xml:space="preserve"> UND ORTHOGRAF</w:t>
            </w:r>
            <w:r w:rsidR="006E71BE" w:rsidRPr="00B85380">
              <w:rPr>
                <w:b/>
                <w:sz w:val="24"/>
                <w:szCs w:val="24"/>
              </w:rPr>
              <w:t>IE</w:t>
            </w:r>
          </w:p>
        </w:tc>
      </w:tr>
      <w:tr w:rsidR="002C6087" w:rsidRPr="00B85380" w14:paraId="598731B5" w14:textId="77777777" w:rsidTr="00C27E8F">
        <w:trPr>
          <w:trHeight w:val="367"/>
        </w:trPr>
        <w:tc>
          <w:tcPr>
            <w:tcW w:w="1171" w:type="dxa"/>
            <w:vMerge w:val="restart"/>
          </w:tcPr>
          <w:p w14:paraId="65590EA2" w14:textId="77777777" w:rsidR="002C6087" w:rsidRPr="00B85380" w:rsidRDefault="002C6087" w:rsidP="000D7C0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4935B1C" w14:textId="77777777" w:rsidR="002C6087" w:rsidRPr="00B85380" w:rsidRDefault="002C6087" w:rsidP="000D7C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1.1</w:t>
            </w:r>
          </w:p>
        </w:tc>
        <w:tc>
          <w:tcPr>
            <w:tcW w:w="6672" w:type="dxa"/>
          </w:tcPr>
          <w:p w14:paraId="441AF71F" w14:textId="3AA9E736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Klassifizierung deutscher Sprachlaute: Vokale und Konsonanten; Phoneme und Allophone; Artikulatorische Phonetik: Art und Ort der Artikulation; Konventionen und Unregelmäßigkeiten der deutschen Rechtschreibung; Rechtschreibregeln und -muster (z. B. Konsonantenverdopplung, stumme Buchstaben)</w:t>
            </w:r>
          </w:p>
        </w:tc>
      </w:tr>
      <w:tr w:rsidR="002C6087" w:rsidRPr="00B85380" w14:paraId="79FCFA98" w14:textId="77777777" w:rsidTr="00C27E8F">
        <w:trPr>
          <w:trHeight w:val="274"/>
        </w:trPr>
        <w:tc>
          <w:tcPr>
            <w:tcW w:w="1171" w:type="dxa"/>
            <w:vMerge/>
          </w:tcPr>
          <w:p w14:paraId="328AD79A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7E0989" w14:textId="77777777" w:rsidR="002C6087" w:rsidRPr="00B85380" w:rsidRDefault="002C6087" w:rsidP="000D7C0E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1.2</w:t>
            </w:r>
          </w:p>
        </w:tc>
        <w:tc>
          <w:tcPr>
            <w:tcW w:w="6672" w:type="dxa"/>
          </w:tcPr>
          <w:p w14:paraId="65409765" w14:textId="77777777" w:rsidR="002C6087" w:rsidRPr="00B85380" w:rsidRDefault="002C6087" w:rsidP="000D7C0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Suprasegmentale Merkmale: Betonung, Rhythmus und Intonation; Phänomene der verbundenen Sprache: Assimilation, Elision, Verknüpfung, Intrusion; Häufige Rechtschreibfehler und Strategien zur Korrektur; Wortbildung und Rechtschreibung (Präfixe, Suffixe, zusammengesetzte Wörter)</w:t>
            </w:r>
          </w:p>
        </w:tc>
      </w:tr>
      <w:tr w:rsidR="002C6087" w:rsidRPr="00B85380" w14:paraId="62116912" w14:textId="77777777" w:rsidTr="00C27E8F">
        <w:trPr>
          <w:trHeight w:val="235"/>
        </w:trPr>
        <w:tc>
          <w:tcPr>
            <w:tcW w:w="1171" w:type="dxa"/>
            <w:vMerge/>
          </w:tcPr>
          <w:p w14:paraId="7926918D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AAC3A2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1.3</w:t>
            </w:r>
          </w:p>
        </w:tc>
        <w:tc>
          <w:tcPr>
            <w:tcW w:w="6672" w:type="dxa"/>
          </w:tcPr>
          <w:p w14:paraId="4D200FF8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Phonetische Transkription (IPA – Internationales Phonetisches Alphabet); Silbenstruktur und Phonotaxis; Homophone, Homographen und Heteronyme; Regeln für Groß- und Kleinschreibung und Zeichensetzung; Abkürzungen und Akronyme</w:t>
            </w:r>
          </w:p>
        </w:tc>
      </w:tr>
      <w:tr w:rsidR="002C6087" w:rsidRPr="00B85380" w14:paraId="2A94EDA2" w14:textId="77777777" w:rsidTr="00C27E8F">
        <w:trPr>
          <w:trHeight w:val="312"/>
        </w:trPr>
        <w:tc>
          <w:tcPr>
            <w:tcW w:w="1171" w:type="dxa"/>
            <w:vMerge/>
          </w:tcPr>
          <w:p w14:paraId="50F8B86C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0C7DBC0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1.4</w:t>
            </w:r>
          </w:p>
        </w:tc>
        <w:tc>
          <w:tcPr>
            <w:tcW w:w="6672" w:type="dxa"/>
          </w:tcPr>
          <w:p w14:paraId="3E4650C2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Akzentvariation und regionale Aussprache (z. B. britisch vs. amerikanisch); Aussprache und Verständlichkeit; Einfluss von Lehnwörtern und Etymologie auf die Rechtschreibung; Unterschiede zwischen britischer und amerikanischer Rechtschreibung</w:t>
            </w:r>
          </w:p>
        </w:tc>
      </w:tr>
      <w:tr w:rsidR="002C6087" w:rsidRPr="00B85380" w14:paraId="4C8B0971" w14:textId="77777777" w:rsidTr="00C27E8F">
        <w:trPr>
          <w:trHeight w:val="273"/>
        </w:trPr>
        <w:tc>
          <w:tcPr>
            <w:tcW w:w="1171" w:type="dxa"/>
          </w:tcPr>
          <w:p w14:paraId="2E6D1A72" w14:textId="77777777" w:rsidR="002C6087" w:rsidRPr="00B85380" w:rsidRDefault="002C6087" w:rsidP="000D7C0E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175" w:type="dxa"/>
            <w:gridSpan w:val="2"/>
          </w:tcPr>
          <w:p w14:paraId="2A9C62E7" w14:textId="77777777" w:rsidR="002C6087" w:rsidRPr="00B85380" w:rsidRDefault="002C6087" w:rsidP="000D7C0E">
            <w:pPr>
              <w:tabs>
                <w:tab w:val="left" w:pos="2519"/>
              </w:tabs>
              <w:ind w:left="113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MORPHOLOGIE</w:t>
            </w:r>
          </w:p>
        </w:tc>
      </w:tr>
      <w:tr w:rsidR="002C6087" w:rsidRPr="00B85380" w14:paraId="7B857A1E" w14:textId="77777777" w:rsidTr="00C27E8F">
        <w:trPr>
          <w:trHeight w:val="349"/>
        </w:trPr>
        <w:tc>
          <w:tcPr>
            <w:tcW w:w="1171" w:type="dxa"/>
            <w:vMerge w:val="restart"/>
          </w:tcPr>
          <w:p w14:paraId="0CF5FF82" w14:textId="77777777" w:rsidR="002C6087" w:rsidRPr="00B85380" w:rsidRDefault="002C6087" w:rsidP="000D7C0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5457CE54" w14:textId="77777777" w:rsidR="002C6087" w:rsidRPr="00B85380" w:rsidRDefault="002C6087" w:rsidP="000D7C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2.1</w:t>
            </w:r>
          </w:p>
        </w:tc>
        <w:tc>
          <w:tcPr>
            <w:tcW w:w="6672" w:type="dxa"/>
          </w:tcPr>
          <w:p w14:paraId="47935DE2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Frei, gebunden, derivativ, flektierend, lexikalisch, grammatisch; Präfixierung, </w:t>
            </w:r>
            <w:proofErr w:type="spellStart"/>
            <w:r w:rsidRPr="00B85380">
              <w:rPr>
                <w:sz w:val="24"/>
                <w:szCs w:val="24"/>
              </w:rPr>
              <w:t>Suffixierung</w:t>
            </w:r>
            <w:proofErr w:type="spellEnd"/>
            <w:r w:rsidRPr="00B85380">
              <w:rPr>
                <w:sz w:val="24"/>
                <w:szCs w:val="24"/>
              </w:rPr>
              <w:t xml:space="preserve">, Bedeutungs- und Wortklassenänderungen; Position der </w:t>
            </w:r>
            <w:proofErr w:type="spellStart"/>
            <w:r w:rsidRPr="00B85380">
              <w:rPr>
                <w:sz w:val="24"/>
                <w:szCs w:val="24"/>
              </w:rPr>
              <w:t>Affixierungsregeln</w:t>
            </w:r>
            <w:proofErr w:type="spellEnd"/>
            <w:r w:rsidRPr="00B85380">
              <w:rPr>
                <w:sz w:val="24"/>
                <w:szCs w:val="24"/>
              </w:rPr>
              <w:t xml:space="preserve"> (Präfix / Suffix / Infix / Zirkumfix), Produktivität, rekursive Verwendung; Flexionsmorphologie: Kennzeichnung von Zeitform, Zahl, Aspekt, Person, Modus, Fall, Geschlecht</w:t>
            </w:r>
          </w:p>
        </w:tc>
      </w:tr>
      <w:tr w:rsidR="002C6087" w:rsidRPr="00B85380" w14:paraId="70ED65C3" w14:textId="77777777" w:rsidTr="00C27E8F">
        <w:trPr>
          <w:trHeight w:val="270"/>
        </w:trPr>
        <w:tc>
          <w:tcPr>
            <w:tcW w:w="1171" w:type="dxa"/>
            <w:vMerge/>
          </w:tcPr>
          <w:p w14:paraId="4AAADAFE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7A01320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2.2</w:t>
            </w:r>
          </w:p>
        </w:tc>
        <w:tc>
          <w:tcPr>
            <w:tcW w:w="6672" w:type="dxa"/>
          </w:tcPr>
          <w:p w14:paraId="730A65B9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Zusammensetzung, Verschmelzung, Clipping, Akronyme, Rückbildung, Reduplikation, Konvertierung; Morphemgrenzen und Allomorphe: Identifizierung von Morphemvarianten (z. B. -s in Katzen, Hunden, Pferden); Wortklassenidentifizierung: Markierungen für Substantive, Verben, Adjektive und Adverbien</w:t>
            </w:r>
          </w:p>
        </w:tc>
      </w:tr>
      <w:tr w:rsidR="002C6087" w:rsidRPr="00B85380" w14:paraId="0836FEA4" w14:textId="77777777" w:rsidTr="00C27E8F">
        <w:trPr>
          <w:trHeight w:val="642"/>
        </w:trPr>
        <w:tc>
          <w:tcPr>
            <w:tcW w:w="1171" w:type="dxa"/>
            <w:vMerge/>
          </w:tcPr>
          <w:p w14:paraId="5E65D7E8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418D90B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2.3</w:t>
            </w:r>
          </w:p>
        </w:tc>
        <w:tc>
          <w:tcPr>
            <w:tcW w:w="6672" w:type="dxa"/>
          </w:tcPr>
          <w:p w14:paraId="484B34D7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Morphologische Analysetechniken </w:t>
            </w:r>
            <w:r w:rsidRPr="00B85380">
              <w:rPr>
                <w:sz w:val="24"/>
                <w:szCs w:val="24"/>
              </w:rPr>
              <w:tab/>
              <w:t>zur Segmentierung von Wörtern in Morpheme; Morphologische Typologie: Fusions-, Agglutinations-, Polysynthetik- und Isolationssprachen; Lexikalische vs. funktionale Morpheme: Inhalts- vs. grammatische Wörter</w:t>
            </w:r>
          </w:p>
        </w:tc>
      </w:tr>
      <w:tr w:rsidR="002C6087" w:rsidRPr="00B85380" w14:paraId="5A490E12" w14:textId="77777777" w:rsidTr="00C27E8F">
        <w:trPr>
          <w:trHeight w:val="379"/>
        </w:trPr>
        <w:tc>
          <w:tcPr>
            <w:tcW w:w="1171" w:type="dxa"/>
            <w:vMerge/>
          </w:tcPr>
          <w:p w14:paraId="40D38796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054D34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2.4</w:t>
            </w:r>
          </w:p>
        </w:tc>
        <w:tc>
          <w:tcPr>
            <w:tcW w:w="6672" w:type="dxa"/>
          </w:tcPr>
          <w:p w14:paraId="7C6F70D8" w14:textId="4A0D43FB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Produktivität und Einschränkungen: </w:t>
            </w:r>
            <w:r w:rsidRPr="00B85380">
              <w:rPr>
                <w:sz w:val="24"/>
                <w:szCs w:val="24"/>
              </w:rPr>
              <w:tab/>
              <w:t xml:space="preserve">wann und wie neue Wörter gebildet werden können (Regeln und Ausnahmen); Unregelmäßige Morphologie: unregelmäßige Pluralformen, Vergangenheitsformen, Ergänzungen (z. B. </w:t>
            </w:r>
            <w:r w:rsidR="00E358F3" w:rsidRPr="00B85380">
              <w:rPr>
                <w:sz w:val="24"/>
                <w:szCs w:val="24"/>
              </w:rPr>
              <w:t>gehen</w:t>
            </w:r>
            <w:r w:rsidRPr="00B85380">
              <w:rPr>
                <w:sz w:val="24"/>
                <w:szCs w:val="24"/>
              </w:rPr>
              <w:t xml:space="preserve"> → </w:t>
            </w:r>
            <w:r w:rsidR="00E358F3" w:rsidRPr="00B85380">
              <w:rPr>
                <w:sz w:val="24"/>
                <w:szCs w:val="24"/>
              </w:rPr>
              <w:t>gegangen</w:t>
            </w:r>
            <w:r w:rsidRPr="00B85380">
              <w:rPr>
                <w:sz w:val="24"/>
                <w:szCs w:val="24"/>
              </w:rPr>
              <w:t>)</w:t>
            </w:r>
          </w:p>
        </w:tc>
      </w:tr>
      <w:tr w:rsidR="002C6087" w:rsidRPr="00B85380" w14:paraId="28B8CD3B" w14:textId="77777777" w:rsidTr="00C27E8F">
        <w:trPr>
          <w:trHeight w:val="303"/>
        </w:trPr>
        <w:tc>
          <w:tcPr>
            <w:tcW w:w="1171" w:type="dxa"/>
            <w:vMerge w:val="restart"/>
          </w:tcPr>
          <w:p w14:paraId="3FADAF44" w14:textId="77777777" w:rsidR="002C6087" w:rsidRPr="00B85380" w:rsidRDefault="002C6087" w:rsidP="000D7C0E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175" w:type="dxa"/>
            <w:gridSpan w:val="2"/>
          </w:tcPr>
          <w:p w14:paraId="05299EAC" w14:textId="77777777" w:rsidR="002C6087" w:rsidRPr="00B85380" w:rsidRDefault="002C6087" w:rsidP="000D7C0E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SYNTAX</w:t>
            </w:r>
          </w:p>
        </w:tc>
      </w:tr>
      <w:tr w:rsidR="002C6087" w:rsidRPr="00B85380" w14:paraId="520CCE49" w14:textId="77777777" w:rsidTr="00C27E8F">
        <w:trPr>
          <w:trHeight w:val="266"/>
        </w:trPr>
        <w:tc>
          <w:tcPr>
            <w:tcW w:w="1171" w:type="dxa"/>
            <w:vMerge/>
            <w:tcBorders>
              <w:top w:val="nil"/>
            </w:tcBorders>
          </w:tcPr>
          <w:p w14:paraId="54A6125F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21B9A5C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3.1</w:t>
            </w:r>
          </w:p>
        </w:tc>
        <w:tc>
          <w:tcPr>
            <w:tcW w:w="6672" w:type="dxa"/>
          </w:tcPr>
          <w:p w14:paraId="77FD78B6" w14:textId="73518D0F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Schlüsselelemente zur Kodifizierung; Substitution, Bewegung, Koordination; Nominalphrase (NP), Verbphrase (VP), Adjektivphrase (</w:t>
            </w:r>
            <w:proofErr w:type="spellStart"/>
            <w:r w:rsidRPr="00B85380">
              <w:rPr>
                <w:sz w:val="24"/>
                <w:szCs w:val="24"/>
              </w:rPr>
              <w:t>AdjP</w:t>
            </w:r>
            <w:proofErr w:type="spellEnd"/>
            <w:r w:rsidRPr="00B85380">
              <w:rPr>
                <w:sz w:val="24"/>
                <w:szCs w:val="24"/>
              </w:rPr>
              <w:t>), Adverbphrase (</w:t>
            </w:r>
            <w:proofErr w:type="spellStart"/>
            <w:r w:rsidRPr="00B85380">
              <w:rPr>
                <w:sz w:val="24"/>
                <w:szCs w:val="24"/>
              </w:rPr>
              <w:t>AdvP</w:t>
            </w:r>
            <w:proofErr w:type="spellEnd"/>
            <w:r w:rsidRPr="00B85380">
              <w:rPr>
                <w:sz w:val="24"/>
                <w:szCs w:val="24"/>
              </w:rPr>
              <w:t>), PP; Haupt-/Unabhängigkeitssätze, Neben-/Abhängigkeitssätze, Relativsätze, Adverbialsätze, Nominalsätze</w:t>
            </w:r>
          </w:p>
        </w:tc>
      </w:tr>
      <w:tr w:rsidR="002C6087" w:rsidRPr="00B85380" w14:paraId="5798F2ED" w14:textId="77777777" w:rsidTr="00C27E8F">
        <w:trPr>
          <w:trHeight w:val="355"/>
        </w:trPr>
        <w:tc>
          <w:tcPr>
            <w:tcW w:w="1171" w:type="dxa"/>
            <w:vMerge/>
            <w:tcBorders>
              <w:top w:val="nil"/>
            </w:tcBorders>
          </w:tcPr>
          <w:p w14:paraId="5052B424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D598F4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3.2</w:t>
            </w:r>
          </w:p>
        </w:tc>
        <w:tc>
          <w:tcPr>
            <w:tcW w:w="6672" w:type="dxa"/>
          </w:tcPr>
          <w:p w14:paraId="1059943F" w14:textId="77777777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Frage-, Aussage-, Imperativ- und Ausrufesätze; Variationen der Wortstellung: </w:t>
            </w:r>
            <w:r w:rsidRPr="00B85380">
              <w:rPr>
                <w:sz w:val="24"/>
                <w:szCs w:val="24"/>
              </w:rPr>
              <w:tab/>
              <w:t xml:space="preserve">SVO, SOV, VSO, VOS, OSV, OVS; Übereinstimmung von Subjekt und Verb, Nomen und Pronomen, Zeitform, Zahl und Geschlecht; Subjekt, Objekt, Ergänzung und </w:t>
            </w:r>
            <w:r w:rsidRPr="00B85380">
              <w:rPr>
                <w:sz w:val="24"/>
                <w:szCs w:val="24"/>
              </w:rPr>
              <w:lastRenderedPageBreak/>
              <w:t>Adjunktion; Subordination und Koordination: Verwendung von Konjunktionen, Relativpronomen usw.</w:t>
            </w:r>
          </w:p>
        </w:tc>
      </w:tr>
      <w:tr w:rsidR="002C6087" w:rsidRPr="00B85380" w14:paraId="425E0CBA" w14:textId="77777777" w:rsidTr="00C27E8F">
        <w:trPr>
          <w:trHeight w:val="417"/>
        </w:trPr>
        <w:tc>
          <w:tcPr>
            <w:tcW w:w="1171" w:type="dxa"/>
            <w:vMerge/>
            <w:tcBorders>
              <w:top w:val="nil"/>
              <w:bottom w:val="nil"/>
            </w:tcBorders>
          </w:tcPr>
          <w:p w14:paraId="21AC5739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B9AF979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3.3</w:t>
            </w:r>
          </w:p>
        </w:tc>
        <w:tc>
          <w:tcPr>
            <w:tcW w:w="6672" w:type="dxa"/>
          </w:tcPr>
          <w:p w14:paraId="33619A02" w14:textId="0B005AAC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Eingebettete und komplexe Sätze: </w:t>
            </w:r>
            <w:r w:rsidRPr="00B85380">
              <w:rPr>
                <w:sz w:val="24"/>
                <w:szCs w:val="24"/>
              </w:rPr>
              <w:tab/>
              <w:t>Satz innerhalb eines Satzes, z</w:t>
            </w:r>
            <w:r w:rsidR="003609C0" w:rsidRPr="00B85380">
              <w:rPr>
                <w:sz w:val="24"/>
                <w:szCs w:val="24"/>
              </w:rPr>
              <w:t>.</w:t>
            </w:r>
            <w:r w:rsidRPr="00B85380">
              <w:rPr>
                <w:sz w:val="24"/>
                <w:szCs w:val="24"/>
              </w:rPr>
              <w:t>B</w:t>
            </w:r>
            <w:r w:rsidR="003609C0" w:rsidRPr="00B85380">
              <w:rPr>
                <w:sz w:val="24"/>
                <w:szCs w:val="24"/>
              </w:rPr>
              <w:t>.</w:t>
            </w:r>
            <w:r w:rsidRPr="00B85380">
              <w:rPr>
                <w:sz w:val="24"/>
                <w:szCs w:val="24"/>
              </w:rPr>
              <w:t xml:space="preserve"> „Ich denke, dass er es weiß.“; Passivierung, Fragebildung, Topikalisierung; Strukturelle und lexikalische Mehrdeutigkeit</w:t>
            </w:r>
          </w:p>
        </w:tc>
      </w:tr>
      <w:tr w:rsidR="002C6087" w:rsidRPr="00B85380" w14:paraId="0663C7C7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single" w:sz="4" w:space="0" w:color="auto"/>
            </w:tcBorders>
          </w:tcPr>
          <w:p w14:paraId="2D1B18C8" w14:textId="77777777" w:rsidR="002C6087" w:rsidRPr="00B85380" w:rsidRDefault="002C6087" w:rsidP="000D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928900" w14:textId="77777777" w:rsidR="002C6087" w:rsidRPr="00B85380" w:rsidRDefault="002C6087" w:rsidP="000D7C0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3.4</w:t>
            </w:r>
          </w:p>
        </w:tc>
        <w:tc>
          <w:tcPr>
            <w:tcW w:w="6672" w:type="dxa"/>
          </w:tcPr>
          <w:p w14:paraId="279E7E66" w14:textId="084D7622" w:rsidR="002C6087" w:rsidRPr="00B85380" w:rsidRDefault="002C6087" w:rsidP="000D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Bindungstheorie (fortgeschritten) </w:t>
            </w:r>
            <w:r w:rsidRPr="00B85380">
              <w:rPr>
                <w:sz w:val="24"/>
                <w:szCs w:val="24"/>
              </w:rPr>
              <w:tab/>
              <w:t>Prinzipien A, B und C; Reflexive, Pronomen, referentielle Ausdrücke; W-Voranstellung; Platzierung von nicht, Hilfsverben, Negationsumfang</w:t>
            </w:r>
          </w:p>
        </w:tc>
      </w:tr>
      <w:tr w:rsidR="002C6087" w:rsidRPr="00B85380" w14:paraId="03103674" w14:textId="77777777" w:rsidTr="00C27E8F">
        <w:trPr>
          <w:trHeight w:val="357"/>
        </w:trPr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3CF3E407" w14:textId="77777777" w:rsidR="002C6087" w:rsidRPr="00B85380" w:rsidRDefault="002C6087" w:rsidP="000D7C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5380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175" w:type="dxa"/>
            <w:gridSpan w:val="2"/>
          </w:tcPr>
          <w:p w14:paraId="737FA600" w14:textId="77777777" w:rsidR="002C6087" w:rsidRPr="00B85380" w:rsidRDefault="002C6087" w:rsidP="000D7C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PRAGMATIK</w:t>
            </w:r>
          </w:p>
        </w:tc>
      </w:tr>
      <w:tr w:rsidR="00F7786F" w:rsidRPr="00B85380" w14:paraId="457B7BE2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2005BBB6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FEF81C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4.1</w:t>
            </w:r>
          </w:p>
        </w:tc>
        <w:tc>
          <w:tcPr>
            <w:tcW w:w="6672" w:type="dxa"/>
          </w:tcPr>
          <w:p w14:paraId="4E80FD1F" w14:textId="38C1DCE9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Kann "Du" und "Sie" Formen richtig verwenden</w:t>
            </w:r>
          </w:p>
        </w:tc>
      </w:tr>
      <w:tr w:rsidR="00F7786F" w:rsidRPr="00B85380" w14:paraId="5714DB57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2D4C5CFA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597AE6C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4.2</w:t>
            </w:r>
          </w:p>
        </w:tc>
        <w:tc>
          <w:tcPr>
            <w:tcW w:w="6672" w:type="dxa"/>
          </w:tcPr>
          <w:p w14:paraId="070B49A4" w14:textId="63E3315C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Wortschatz auf B2-Niveau in kontextuell passenden und korrekt gebildeten Sätzen verwenden und ihn emotional ausdrücken</w:t>
            </w:r>
          </w:p>
        </w:tc>
      </w:tr>
      <w:tr w:rsidR="00F7786F" w:rsidRPr="00B85380" w14:paraId="37542767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562F6C60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45D7B8F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4.3</w:t>
            </w:r>
          </w:p>
        </w:tc>
        <w:tc>
          <w:tcPr>
            <w:tcW w:w="6672" w:type="dxa"/>
          </w:tcPr>
          <w:p w14:paraId="415A113D" w14:textId="203112A4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Kann aktuelle Smalltalk Themen in Deutschland beschreiben und Tabus erkennen</w:t>
            </w:r>
          </w:p>
        </w:tc>
      </w:tr>
      <w:tr w:rsidR="00F7786F" w:rsidRPr="00B85380" w14:paraId="4B3007FC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single" w:sz="4" w:space="0" w:color="auto"/>
            </w:tcBorders>
          </w:tcPr>
          <w:p w14:paraId="327876E1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75751F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4.4</w:t>
            </w:r>
          </w:p>
        </w:tc>
        <w:tc>
          <w:tcPr>
            <w:tcW w:w="6672" w:type="dxa"/>
          </w:tcPr>
          <w:p w14:paraId="7F1B08DD" w14:textId="77777777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Pragmatische Marker: Diskursmarker wie „also“, „weißt du“, „eigentlich“ usw.; Ironie, Sarkasmus und Humor: pragmatische Mechanismen hinter nicht-wörtlichen Bedeutungen; Pragmatische Entwicklung in SLA: Wie Lernende pragmatische Fähigkeiten in einer Zweitsprache erwerben</w:t>
            </w:r>
          </w:p>
        </w:tc>
      </w:tr>
      <w:tr w:rsidR="00F7786F" w:rsidRPr="00B85380" w14:paraId="3872B1FD" w14:textId="77777777" w:rsidTr="00C27E8F">
        <w:trPr>
          <w:trHeight w:val="349"/>
        </w:trPr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0CAF3893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175" w:type="dxa"/>
            <w:gridSpan w:val="2"/>
          </w:tcPr>
          <w:p w14:paraId="391A13B4" w14:textId="474E8B89" w:rsidR="00F7786F" w:rsidRPr="00B85380" w:rsidRDefault="00F7786F" w:rsidP="00F7786F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SOZI</w:t>
            </w:r>
            <w:r w:rsidR="00AC0BB0" w:rsidRPr="00B85380">
              <w:rPr>
                <w:b/>
                <w:sz w:val="24"/>
                <w:szCs w:val="24"/>
              </w:rPr>
              <w:t>O</w:t>
            </w:r>
            <w:r w:rsidRPr="00B85380">
              <w:rPr>
                <w:b/>
                <w:sz w:val="24"/>
                <w:szCs w:val="24"/>
              </w:rPr>
              <w:t>LINGUISTIK</w:t>
            </w:r>
          </w:p>
        </w:tc>
      </w:tr>
      <w:tr w:rsidR="00F7786F" w:rsidRPr="00B85380" w14:paraId="537EF1EB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23230955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29D43A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5.1</w:t>
            </w:r>
          </w:p>
        </w:tc>
        <w:tc>
          <w:tcPr>
            <w:tcW w:w="6672" w:type="dxa"/>
          </w:tcPr>
          <w:p w14:paraId="69BF8072" w14:textId="77777777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Arten von Sprachvarietäten; Standard- und Nicht-Standardvarietäten; Code-Switching; Diglossie: Hohe und niedrige Varietäten, funktionale Kompartimentierung;</w:t>
            </w:r>
          </w:p>
          <w:p w14:paraId="72AF8B46" w14:textId="77777777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Sprachkontakt; Sprachgemeinschaften</w:t>
            </w:r>
          </w:p>
        </w:tc>
      </w:tr>
      <w:tr w:rsidR="00F7786F" w:rsidRPr="00B85380" w14:paraId="440D6F30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48139704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2955BB5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5.2</w:t>
            </w:r>
          </w:p>
        </w:tc>
        <w:tc>
          <w:tcPr>
            <w:tcW w:w="6672" w:type="dxa"/>
          </w:tcPr>
          <w:p w14:paraId="26EBEDC5" w14:textId="77777777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Soziale Faktoren im Sprachgebrauch; Akzent und Aussprache; Sprache und Geschlecht; Sprache und Ethnizität; Sprachwandel und -erhaltung; Sprachpolitik und -planung; Sprachlandschaft; Akkommodationstheorie: Konvergenz und Divergenz in der sozialen Interaktion</w:t>
            </w:r>
          </w:p>
        </w:tc>
      </w:tr>
      <w:tr w:rsidR="00F7786F" w:rsidRPr="00B85380" w14:paraId="6C7DF937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single" w:sz="4" w:space="0" w:color="auto"/>
            </w:tcBorders>
          </w:tcPr>
          <w:p w14:paraId="526F6F5C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80FFDFB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5.3</w:t>
            </w:r>
          </w:p>
        </w:tc>
        <w:tc>
          <w:tcPr>
            <w:tcW w:w="6672" w:type="dxa"/>
          </w:tcPr>
          <w:p w14:paraId="388F4CB1" w14:textId="77777777" w:rsidR="00F7786F" w:rsidRPr="00B85380" w:rsidRDefault="00F7786F" w:rsidP="00F778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Ethnographie der Kommunikation; Soziolinguistische Variablen; Sprachideologien; Identitätskonstruktion; Mehrsprachige Erziehung; Einstellungsmessung.</w:t>
            </w:r>
          </w:p>
        </w:tc>
      </w:tr>
      <w:tr w:rsidR="00F7786F" w:rsidRPr="00B85380" w14:paraId="62ADF044" w14:textId="77777777" w:rsidTr="00C27E8F">
        <w:trPr>
          <w:trHeight w:val="349"/>
        </w:trPr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37CEA7CB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175" w:type="dxa"/>
            <w:gridSpan w:val="2"/>
          </w:tcPr>
          <w:p w14:paraId="0E07F77B" w14:textId="77777777" w:rsidR="00F7786F" w:rsidRPr="00B85380" w:rsidRDefault="00F7786F" w:rsidP="00F7786F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LEXIK</w:t>
            </w:r>
          </w:p>
        </w:tc>
      </w:tr>
      <w:tr w:rsidR="00F7786F" w:rsidRPr="00B85380" w14:paraId="5017E344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45E73E97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358F12F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6.1</w:t>
            </w:r>
          </w:p>
        </w:tc>
        <w:tc>
          <w:tcPr>
            <w:tcW w:w="6672" w:type="dxa"/>
          </w:tcPr>
          <w:p w14:paraId="1629791C" w14:textId="77777777" w:rsidR="00F7786F" w:rsidRPr="00B85380" w:rsidRDefault="00F7786F" w:rsidP="00F7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B85380">
              <w:rPr>
                <w:iCs/>
                <w:sz w:val="24"/>
                <w:szCs w:val="24"/>
              </w:rPr>
              <w:t>Ableitung, Zusammensetzung, Vermischung, Kürzung, Akronyme, Rückbildung, Konvertierung; Polysemie, Homonymie, Synonymie, Antonymie, Hyponymie, Meronymie</w:t>
            </w:r>
          </w:p>
        </w:tc>
      </w:tr>
      <w:tr w:rsidR="00F7786F" w:rsidRPr="00B85380" w14:paraId="4EC759A8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3F76751B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7758A3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6.2</w:t>
            </w:r>
          </w:p>
        </w:tc>
        <w:tc>
          <w:tcPr>
            <w:tcW w:w="6672" w:type="dxa"/>
          </w:tcPr>
          <w:p w14:paraId="0390382A" w14:textId="77777777" w:rsidR="00F7786F" w:rsidRPr="00B85380" w:rsidRDefault="00F7786F" w:rsidP="00F7786F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Feste Ausdrücke, eingeschränkte Kollokationen, gewohnheitsmäßige Wortpaarungen; Redewendungen, </w:t>
            </w:r>
            <w:proofErr w:type="spellStart"/>
            <w:r w:rsidRPr="00B85380">
              <w:rPr>
                <w:sz w:val="24"/>
                <w:szCs w:val="24"/>
              </w:rPr>
              <w:t>Phrasalverben</w:t>
            </w:r>
            <w:proofErr w:type="spellEnd"/>
            <w:r w:rsidRPr="00B85380">
              <w:rPr>
                <w:sz w:val="24"/>
                <w:szCs w:val="24"/>
              </w:rPr>
              <w:t>, bildliche Bedeutung; semantische Netzwerke, thematische Wortschatzgruppen</w:t>
            </w:r>
          </w:p>
        </w:tc>
      </w:tr>
      <w:tr w:rsidR="00F7786F" w:rsidRPr="00B85380" w14:paraId="7CF89192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50C756ED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5E9439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6.3</w:t>
            </w:r>
          </w:p>
        </w:tc>
        <w:tc>
          <w:tcPr>
            <w:tcW w:w="6672" w:type="dxa"/>
          </w:tcPr>
          <w:p w14:paraId="6969052D" w14:textId="77777777" w:rsidR="00F7786F" w:rsidRPr="00B85380" w:rsidRDefault="00F7786F" w:rsidP="00F7786F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Formale vs. informelle Lexik, Jargon, Slang, dialektales Vokabular; Lehnwörter, Lehnübersetzungen, Internationalismen</w:t>
            </w:r>
          </w:p>
        </w:tc>
      </w:tr>
      <w:tr w:rsidR="00F7786F" w:rsidRPr="00B85380" w14:paraId="3A605CAA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single" w:sz="4" w:space="0" w:color="auto"/>
            </w:tcBorders>
          </w:tcPr>
          <w:p w14:paraId="66F58267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39886B3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6.4</w:t>
            </w:r>
          </w:p>
        </w:tc>
        <w:tc>
          <w:tcPr>
            <w:tcW w:w="6672" w:type="dxa"/>
          </w:tcPr>
          <w:p w14:paraId="3D7486B3" w14:textId="77777777" w:rsidR="00F7786F" w:rsidRPr="00B85380" w:rsidRDefault="00F7786F" w:rsidP="00F7786F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 xml:space="preserve">Neue Wörter prägen, technisch beeinflusster Wortschatz; diachroner Wandel, soziolinguistische Variation; </w:t>
            </w:r>
            <w:proofErr w:type="spellStart"/>
            <w:r w:rsidRPr="00B85380">
              <w:rPr>
                <w:sz w:val="24"/>
                <w:szCs w:val="24"/>
              </w:rPr>
              <w:t>Exikographie</w:t>
            </w:r>
            <w:proofErr w:type="spellEnd"/>
            <w:r w:rsidRPr="00B85380">
              <w:rPr>
                <w:sz w:val="24"/>
                <w:szCs w:val="24"/>
              </w:rPr>
              <w:t>, Verwendung von Korpora für lexikalische Studien</w:t>
            </w:r>
          </w:p>
        </w:tc>
      </w:tr>
      <w:tr w:rsidR="00F7786F" w:rsidRPr="00B85380" w14:paraId="5D2DF6CD" w14:textId="77777777" w:rsidTr="00C27E8F">
        <w:trPr>
          <w:trHeight w:val="349"/>
        </w:trPr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14:paraId="1DCFC538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75" w:type="dxa"/>
            <w:gridSpan w:val="2"/>
          </w:tcPr>
          <w:p w14:paraId="46CDB88E" w14:textId="1B7B7021" w:rsidR="00F7786F" w:rsidRPr="00B85380" w:rsidRDefault="00F7786F" w:rsidP="00F7786F">
            <w:pPr>
              <w:pStyle w:val="TableParagraph"/>
              <w:spacing w:line="316" w:lineRule="exact"/>
              <w:ind w:left="108"/>
              <w:jc w:val="center"/>
              <w:rPr>
                <w:sz w:val="24"/>
                <w:szCs w:val="24"/>
              </w:rPr>
            </w:pPr>
            <w:r w:rsidRPr="00B85380">
              <w:rPr>
                <w:b/>
                <w:sz w:val="24"/>
                <w:szCs w:val="24"/>
              </w:rPr>
              <w:t>LESEVERSTÄNDNIS</w:t>
            </w:r>
          </w:p>
        </w:tc>
      </w:tr>
      <w:tr w:rsidR="00F7786F" w:rsidRPr="00B85380" w14:paraId="665A59C5" w14:textId="77777777" w:rsidTr="00C27E8F">
        <w:trPr>
          <w:trHeight w:val="349"/>
        </w:trPr>
        <w:tc>
          <w:tcPr>
            <w:tcW w:w="1171" w:type="dxa"/>
            <w:tcBorders>
              <w:top w:val="nil"/>
              <w:bottom w:val="nil"/>
            </w:tcBorders>
          </w:tcPr>
          <w:p w14:paraId="476200CC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5C56249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7.1</w:t>
            </w:r>
          </w:p>
        </w:tc>
        <w:tc>
          <w:tcPr>
            <w:tcW w:w="6672" w:type="dxa"/>
          </w:tcPr>
          <w:p w14:paraId="50584BA2" w14:textId="564CD4A2" w:rsidR="00F7786F" w:rsidRPr="00B85380" w:rsidRDefault="00F7786F" w:rsidP="00F7786F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Suchen nach bestimmten Informationen (z. B. Daten, Namen, Zahlen); Verstehen der allgemeinen Bedeutung einer Passage; Genaues Lesen, um alle relevanten Informationen zu extrahieren; Unterscheiden der Kernbotschaft oder des Arguments von Beispielen oder Unterstützung; Identifizieren von Beweisen oder Ausarbeitungen für die Hauptideen; zwischen den Zeilen lesen; Ziehen von Schlussfolgerungen, die nicht direkt angegeben sind</w:t>
            </w:r>
          </w:p>
        </w:tc>
      </w:tr>
      <w:tr w:rsidR="00F7786F" w:rsidRPr="00B85380" w14:paraId="679A2F0D" w14:textId="77777777" w:rsidTr="00C27E8F">
        <w:trPr>
          <w:trHeight w:val="349"/>
        </w:trPr>
        <w:tc>
          <w:tcPr>
            <w:tcW w:w="1171" w:type="dxa"/>
            <w:tcBorders>
              <w:top w:val="nil"/>
            </w:tcBorders>
          </w:tcPr>
          <w:p w14:paraId="3332C531" w14:textId="77777777" w:rsidR="00F7786F" w:rsidRPr="00B85380" w:rsidRDefault="00F7786F" w:rsidP="00F7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DC3AE7C" w14:textId="77777777" w:rsidR="00F7786F" w:rsidRPr="00B85380" w:rsidRDefault="00F7786F" w:rsidP="00F7786F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7.2</w:t>
            </w:r>
          </w:p>
        </w:tc>
        <w:tc>
          <w:tcPr>
            <w:tcW w:w="6672" w:type="dxa"/>
          </w:tcPr>
          <w:p w14:paraId="1709A20B" w14:textId="77777777" w:rsidR="00F7786F" w:rsidRPr="00B85380" w:rsidRDefault="00F7786F" w:rsidP="00F7786F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</w:rPr>
            </w:pPr>
            <w:r w:rsidRPr="00B85380">
              <w:rPr>
                <w:sz w:val="24"/>
                <w:szCs w:val="24"/>
              </w:rPr>
              <w:t>Auf der Grundlage des Kontexts voraussehen, was als Nächstes passieren könnte; Hinweise im Satz verwenden, um unbekannte Wörter zu verstehen; Chronologie, Ursache-Wirkung, Problem-Lösung, Vergleich-Kontrast; Referenzwörter (z. B. Pronomen), Bindewörter, Übergangssignale; Überzeugende Absicht, Neutralität, Voreingenommenheit, Humor usw.; Subjektive und objektive Aussagen unterscheiden; Inhalt in einer kurzen Übersicht zusammenfassen; Logik, Glaubwürdigkeit und Argumentation eines Textes bewerten</w:t>
            </w:r>
          </w:p>
        </w:tc>
      </w:tr>
    </w:tbl>
    <w:p w14:paraId="210BE243" w14:textId="12ED7F35" w:rsidR="002C6087" w:rsidRPr="009C501B" w:rsidRDefault="009C501B" w:rsidP="00B85380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Cyrl-UZ"/>
          <w14:ligatures w14:val="standardContextual"/>
        </w:rPr>
        <w:t xml:space="preserve"> </w:t>
      </w:r>
      <w:r w:rsidR="002C6087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  <w:t>Bewertungskriterien für das Fach Deutsch</w:t>
      </w:r>
      <w:r w:rsidR="003A27C6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  <w:t xml:space="preserve"> </w:t>
      </w:r>
      <w:r w:rsidR="00AC0BB0"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  <w:t>als Fremdsprache</w:t>
      </w:r>
    </w:p>
    <w:p w14:paraId="5FF3E454" w14:textId="6349B242" w:rsidR="002C6087" w:rsidRPr="00B85380" w:rsidRDefault="002C6087" w:rsidP="00B853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</w:pPr>
      <w:r w:rsidRPr="00B853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Jeder </w:t>
      </w:r>
      <w:r w:rsidR="00C471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>t</w:t>
      </w:r>
      <w:r w:rsidRPr="00B853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>est</w:t>
      </w:r>
      <w:r w:rsidR="00B853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 </w:t>
      </w:r>
      <w:r w:rsidRPr="00B853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>typ wird anhand unterschiedlicher Kriterien bewertet.</w:t>
      </w:r>
    </w:p>
    <w:p w14:paraId="2A8B4900" w14:textId="77777777" w:rsidR="002C6087" w:rsidRPr="00C47180" w:rsidRDefault="002C6087" w:rsidP="00C47180">
      <w:pPr>
        <w:spacing w:after="0" w:line="276" w:lineRule="auto"/>
        <w:ind w:left="1276" w:hanging="1"/>
        <w:jc w:val="both"/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</w:pPr>
      <w:r w:rsidRPr="00C471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>a) Wenn die gewählte Antwort richtig ist – 2 Punkte;</w:t>
      </w:r>
    </w:p>
    <w:p w14:paraId="3C7C60B6" w14:textId="77777777" w:rsidR="002C6087" w:rsidRPr="00C47180" w:rsidRDefault="002C6087" w:rsidP="00C47180">
      <w:pPr>
        <w:spacing w:after="0" w:line="276" w:lineRule="auto"/>
        <w:ind w:left="1276" w:hanging="1"/>
        <w:jc w:val="both"/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</w:pPr>
      <w:r w:rsidRPr="00C47180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>b) Wenn die gewählte Antwort falsch ist – 0 Punkte.</w:t>
      </w:r>
    </w:p>
    <w:p w14:paraId="0A970C8C" w14:textId="77777777" w:rsidR="002C6087" w:rsidRPr="009C501B" w:rsidRDefault="002C6087" w:rsidP="00B85380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</w:pPr>
      <w:r w:rsidRPr="009C501B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uz-Latn-UZ"/>
          <w14:ligatures w14:val="standardContextual"/>
        </w:rPr>
        <w:t>Liste der empfohlenen Literatur</w:t>
      </w:r>
    </w:p>
    <w:p w14:paraId="26FCF335" w14:textId="43DA0975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A1. Kursbuch,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. Klett Verlag Sprachen, Stuttgart. 2019.</w:t>
      </w:r>
    </w:p>
    <w:p w14:paraId="510AF6F8" w14:textId="1CAC29DB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A1. Übungsbuch,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. Klett Verlag Sprachen, Stuttgart. 2020.</w:t>
      </w:r>
    </w:p>
    <w:p w14:paraId="2CB16335" w14:textId="2FC01E6B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2et92p0" w:colFirst="0" w:colLast="0"/>
      <w:bookmarkEnd w:id="0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A2., Kursbuch.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. Klett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Kiado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, Budapest. 2024.</w:t>
      </w:r>
    </w:p>
    <w:p w14:paraId="2C37BD4D" w14:textId="6BAE7BC3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A2., </w:t>
      </w:r>
      <w:r w:rsidRPr="009C501B">
        <w:rPr>
          <w:rFonts w:ascii="Times New Roman" w:hAnsi="Times New Roman" w:cs="Times New Roman"/>
          <w:sz w:val="24"/>
          <w:szCs w:val="24"/>
        </w:rPr>
        <w:t>Übung</w:t>
      </w: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sbuch.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. Klett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Kiado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, Budapest. 2024.</w:t>
      </w:r>
    </w:p>
    <w:p w14:paraId="7165ECAA" w14:textId="52E57ED9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tyjcwt" w:colFirst="0" w:colLast="0"/>
      <w:bookmarkEnd w:id="1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B1., Kursbuch.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. Klett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Kiado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, Budapest. 2024.</w:t>
      </w:r>
    </w:p>
    <w:p w14:paraId="6E3530B6" w14:textId="0D366776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eading=h.3dy6vkm" w:colFirst="0" w:colLast="0"/>
      <w:bookmarkEnd w:id="2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Die Deutschprofis B1., Arbeitsbuch. Olga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Swerlova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. Klett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Kiado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, Budapest. 2024.</w:t>
      </w:r>
    </w:p>
    <w:p w14:paraId="099AB92C" w14:textId="54935478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t3h5sf" w:colFirst="0" w:colLast="0"/>
      <w:bookmarkEnd w:id="3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Aspekte Junior B1 plus, Kursbuch. Ute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Koithan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. Ernst Klett Sprachen, Stuttgart. 2019.</w:t>
      </w:r>
    </w:p>
    <w:p w14:paraId="0FBE74A0" w14:textId="0C819598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eading=h.4d34og8" w:colFirst="0" w:colLast="0"/>
      <w:bookmarkEnd w:id="4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Aspekte Junior B1 plus, Übungsbuch. Ute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Koithan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>. Ernst Klett Sprachen, Stuttgart. 2022.</w:t>
      </w:r>
    </w:p>
    <w:p w14:paraId="188CD4FA" w14:textId="6B39FF8E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Lehr- und Übungsbuch der deutschen Grammatik. </w:t>
      </w:r>
      <w:r w:rsidRPr="009C501B">
        <w:rPr>
          <w:rFonts w:ascii="Times New Roman" w:hAnsi="Times New Roman" w:cs="Times New Roman"/>
          <w:sz w:val="24"/>
          <w:szCs w:val="24"/>
        </w:rPr>
        <w:t>Das</w:t>
      </w:r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 Gelbe aktuell. Hilke Dreyer, Richard Schmitt. </w:t>
      </w:r>
      <w:proofErr w:type="spellStart"/>
      <w:r w:rsidRPr="009C501B">
        <w:rPr>
          <w:rFonts w:ascii="Times New Roman" w:hAnsi="Times New Roman" w:cs="Times New Roman"/>
          <w:color w:val="000000"/>
          <w:sz w:val="24"/>
          <w:szCs w:val="24"/>
        </w:rPr>
        <w:t>Hueber</w:t>
      </w:r>
      <w:proofErr w:type="spellEnd"/>
      <w:r w:rsidRPr="009C501B">
        <w:rPr>
          <w:rFonts w:ascii="Times New Roman" w:hAnsi="Times New Roman" w:cs="Times New Roman"/>
          <w:color w:val="000000"/>
          <w:sz w:val="24"/>
          <w:szCs w:val="24"/>
        </w:rPr>
        <w:t xml:space="preserve"> Verlag. 2013.</w:t>
      </w:r>
    </w:p>
    <w:p w14:paraId="6DD32CCC" w14:textId="6CA0B15D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1B">
        <w:rPr>
          <w:rFonts w:ascii="Times New Roman" w:hAnsi="Times New Roman" w:cs="Times New Roman"/>
          <w:sz w:val="24"/>
          <w:szCs w:val="24"/>
        </w:rPr>
        <w:t>Deutsche Phonetik</w:t>
      </w:r>
      <w:r w:rsidR="00283796" w:rsidRPr="009C501B">
        <w:rPr>
          <w:rFonts w:ascii="Times New Roman" w:hAnsi="Times New Roman" w:cs="Times New Roman"/>
          <w:sz w:val="24"/>
          <w:szCs w:val="24"/>
        </w:rPr>
        <w:t xml:space="preserve"> </w:t>
      </w:r>
      <w:r w:rsidRPr="009C501B">
        <w:rPr>
          <w:rFonts w:ascii="Times New Roman" w:hAnsi="Times New Roman" w:cs="Times New Roman"/>
          <w:sz w:val="24"/>
          <w:szCs w:val="24"/>
        </w:rPr>
        <w:t>-</w:t>
      </w:r>
      <w:r w:rsidR="00283796" w:rsidRPr="009C501B">
        <w:rPr>
          <w:rFonts w:ascii="Times New Roman" w:hAnsi="Times New Roman" w:cs="Times New Roman"/>
          <w:sz w:val="24"/>
          <w:szCs w:val="24"/>
        </w:rPr>
        <w:t xml:space="preserve"> </w:t>
      </w:r>
      <w:r w:rsidRPr="009C501B">
        <w:rPr>
          <w:rFonts w:ascii="Times New Roman" w:hAnsi="Times New Roman" w:cs="Times New Roman"/>
          <w:sz w:val="24"/>
          <w:szCs w:val="24"/>
        </w:rPr>
        <w:t>eine Einführung. Koloman Brenner u.a.</w:t>
      </w:r>
      <w:r w:rsidR="00AC0BB0" w:rsidRPr="009C501B">
        <w:rPr>
          <w:rFonts w:ascii="Times New Roman" w:hAnsi="Times New Roman" w:cs="Times New Roman"/>
          <w:sz w:val="24"/>
          <w:szCs w:val="24"/>
        </w:rPr>
        <w:t xml:space="preserve"> </w:t>
      </w:r>
      <w:r w:rsidRPr="009C501B">
        <w:rPr>
          <w:rFonts w:ascii="Times New Roman" w:hAnsi="Times New Roman" w:cs="Times New Roman"/>
          <w:sz w:val="24"/>
          <w:szCs w:val="24"/>
        </w:rPr>
        <w:t>Budapest-Veszprem. 2006.</w:t>
      </w:r>
    </w:p>
    <w:p w14:paraId="6305BCE1" w14:textId="6F748F12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eading=h.2s8eyo1" w:colFirst="0" w:colLast="0"/>
      <w:bookmarkEnd w:id="5"/>
      <w:r w:rsidRPr="009C501B">
        <w:rPr>
          <w:rFonts w:ascii="Times New Roman" w:hAnsi="Times New Roman" w:cs="Times New Roman"/>
          <w:sz w:val="24"/>
          <w:szCs w:val="24"/>
        </w:rPr>
        <w:t xml:space="preserve">Aspekte neu B2, Arbeitsbuch. Ute </w:t>
      </w:r>
      <w:proofErr w:type="spellStart"/>
      <w:r w:rsidRPr="009C501B">
        <w:rPr>
          <w:rFonts w:ascii="Times New Roman" w:hAnsi="Times New Roman" w:cs="Times New Roman"/>
          <w:sz w:val="24"/>
          <w:szCs w:val="24"/>
        </w:rPr>
        <w:t>Koithan</w:t>
      </w:r>
      <w:proofErr w:type="spellEnd"/>
      <w:r w:rsidRPr="009C501B">
        <w:rPr>
          <w:rFonts w:ascii="Times New Roman" w:hAnsi="Times New Roman" w:cs="Times New Roman"/>
          <w:sz w:val="24"/>
          <w:szCs w:val="24"/>
        </w:rPr>
        <w:t>, Helen Schmitz, Tanja Sieber, Ralf Sonntag. Klett-Langenscheidt, München. 2017.</w:t>
      </w:r>
    </w:p>
    <w:p w14:paraId="6E2BFEC5" w14:textId="1619A7EC" w:rsidR="00CF0F06" w:rsidRPr="009C501B" w:rsidRDefault="00CF0F06" w:rsidP="00C47180">
      <w:pPr>
        <w:pStyle w:val="a3"/>
        <w:numPr>
          <w:ilvl w:val="1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eading=h.17dp8vu" w:colFirst="0" w:colLast="0"/>
      <w:bookmarkEnd w:id="6"/>
      <w:r w:rsidRPr="009C501B">
        <w:rPr>
          <w:rFonts w:ascii="Times New Roman" w:hAnsi="Times New Roman" w:cs="Times New Roman"/>
          <w:sz w:val="24"/>
          <w:szCs w:val="24"/>
        </w:rPr>
        <w:t xml:space="preserve">Aspekte neu B2, Lehrbuch. Ute </w:t>
      </w:r>
      <w:proofErr w:type="spellStart"/>
      <w:r w:rsidRPr="009C501B">
        <w:rPr>
          <w:rFonts w:ascii="Times New Roman" w:hAnsi="Times New Roman" w:cs="Times New Roman"/>
          <w:sz w:val="24"/>
          <w:szCs w:val="24"/>
        </w:rPr>
        <w:t>Koithan</w:t>
      </w:r>
      <w:proofErr w:type="spellEnd"/>
      <w:r w:rsidRPr="009C501B">
        <w:rPr>
          <w:rFonts w:ascii="Times New Roman" w:hAnsi="Times New Roman" w:cs="Times New Roman"/>
          <w:sz w:val="24"/>
          <w:szCs w:val="24"/>
        </w:rPr>
        <w:t>, Helen Schmitz, Tanja Sieber, Ralf Sonntag. Klett-Langenscheidt, München. 2017.</w:t>
      </w:r>
    </w:p>
    <w:p w14:paraId="72EF24CF" w14:textId="77777777" w:rsidR="0013014E" w:rsidRPr="009C501B" w:rsidRDefault="0013014E">
      <w:pPr>
        <w:rPr>
          <w:rFonts w:ascii="Times New Roman" w:hAnsi="Times New Roman" w:cs="Times New Roman"/>
          <w:sz w:val="24"/>
          <w:szCs w:val="24"/>
        </w:rPr>
      </w:pPr>
    </w:p>
    <w:sectPr w:rsidR="0013014E" w:rsidRPr="009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03C"/>
    <w:multiLevelType w:val="hybridMultilevel"/>
    <w:tmpl w:val="33ACA056"/>
    <w:lvl w:ilvl="0" w:tplc="66DEF03C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5823"/>
    <w:multiLevelType w:val="hybridMultilevel"/>
    <w:tmpl w:val="90F6CA64"/>
    <w:lvl w:ilvl="0" w:tplc="2E583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D5583"/>
    <w:multiLevelType w:val="hybridMultilevel"/>
    <w:tmpl w:val="8A2EB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0CE6"/>
    <w:multiLevelType w:val="hybridMultilevel"/>
    <w:tmpl w:val="27BE02A4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" w15:restartNumberingAfterBreak="0">
    <w:nsid w:val="495E4E34"/>
    <w:multiLevelType w:val="hybridMultilevel"/>
    <w:tmpl w:val="AB0A4F28"/>
    <w:lvl w:ilvl="0" w:tplc="BB1E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044FF"/>
    <w:multiLevelType w:val="hybridMultilevel"/>
    <w:tmpl w:val="35E2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85C40"/>
    <w:multiLevelType w:val="hybridMultilevel"/>
    <w:tmpl w:val="BAA4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7EA4"/>
    <w:multiLevelType w:val="hybridMultilevel"/>
    <w:tmpl w:val="A6E2AB14"/>
    <w:lvl w:ilvl="0" w:tplc="D1C28D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D0D4E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9E6"/>
    <w:multiLevelType w:val="hybridMultilevel"/>
    <w:tmpl w:val="BCB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90405">
    <w:abstractNumId w:val="7"/>
  </w:num>
  <w:num w:numId="2" w16cid:durableId="1570385727">
    <w:abstractNumId w:val="3"/>
  </w:num>
  <w:num w:numId="3" w16cid:durableId="327363864">
    <w:abstractNumId w:val="5"/>
  </w:num>
  <w:num w:numId="4" w16cid:durableId="1392846204">
    <w:abstractNumId w:val="0"/>
  </w:num>
  <w:num w:numId="5" w16cid:durableId="1097948574">
    <w:abstractNumId w:val="6"/>
  </w:num>
  <w:num w:numId="6" w16cid:durableId="1505973006">
    <w:abstractNumId w:val="4"/>
  </w:num>
  <w:num w:numId="7" w16cid:durableId="1309549433">
    <w:abstractNumId w:val="1"/>
  </w:num>
  <w:num w:numId="8" w16cid:durableId="1736010705">
    <w:abstractNumId w:val="8"/>
  </w:num>
  <w:num w:numId="9" w16cid:durableId="105350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6087"/>
    <w:rsid w:val="00016256"/>
    <w:rsid w:val="00044F9D"/>
    <w:rsid w:val="00054E84"/>
    <w:rsid w:val="000B5E80"/>
    <w:rsid w:val="000D0320"/>
    <w:rsid w:val="0013014E"/>
    <w:rsid w:val="001862B0"/>
    <w:rsid w:val="00206014"/>
    <w:rsid w:val="00246E31"/>
    <w:rsid w:val="002779DA"/>
    <w:rsid w:val="00283796"/>
    <w:rsid w:val="002C6087"/>
    <w:rsid w:val="0035044C"/>
    <w:rsid w:val="003609C0"/>
    <w:rsid w:val="00394F9A"/>
    <w:rsid w:val="003A27C6"/>
    <w:rsid w:val="00481B0C"/>
    <w:rsid w:val="00504C9A"/>
    <w:rsid w:val="00580778"/>
    <w:rsid w:val="005954C0"/>
    <w:rsid w:val="00670C29"/>
    <w:rsid w:val="006814EA"/>
    <w:rsid w:val="006E71BE"/>
    <w:rsid w:val="006F0353"/>
    <w:rsid w:val="006F03A3"/>
    <w:rsid w:val="007F31C2"/>
    <w:rsid w:val="00990759"/>
    <w:rsid w:val="009C501B"/>
    <w:rsid w:val="009E4D07"/>
    <w:rsid w:val="00A83EEF"/>
    <w:rsid w:val="00AC0BB0"/>
    <w:rsid w:val="00B1308A"/>
    <w:rsid w:val="00B85380"/>
    <w:rsid w:val="00C266DA"/>
    <w:rsid w:val="00C27E8F"/>
    <w:rsid w:val="00C47180"/>
    <w:rsid w:val="00C72E38"/>
    <w:rsid w:val="00CC17BB"/>
    <w:rsid w:val="00CC5E71"/>
    <w:rsid w:val="00CF0F06"/>
    <w:rsid w:val="00D92995"/>
    <w:rsid w:val="00E358F3"/>
    <w:rsid w:val="00E61E17"/>
    <w:rsid w:val="00F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9038"/>
  <w15:chartTrackingRefBased/>
  <w15:docId w15:val="{58C674B1-3AB9-4E0F-9D91-436E3EA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87"/>
    <w:pPr>
      <w:spacing w:after="160" w:line="259" w:lineRule="auto"/>
    </w:pPr>
    <w:rPr>
      <w:kern w:val="2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2C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8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a3">
    <w:name w:val="List Paragraph"/>
    <w:basedOn w:val="a"/>
    <w:uiPriority w:val="34"/>
    <w:qFormat/>
    <w:rsid w:val="002C60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C608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6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styleId="a4">
    <w:name w:val="Table Grid"/>
    <w:basedOn w:val="a1"/>
    <w:uiPriority w:val="39"/>
    <w:rsid w:val="002C608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Madrizayev</dc:creator>
  <cp:keywords/>
  <dc:description/>
  <cp:lastModifiedBy>Teacher</cp:lastModifiedBy>
  <cp:revision>6</cp:revision>
  <dcterms:created xsi:type="dcterms:W3CDTF">2025-08-08T12:43:00Z</dcterms:created>
  <dcterms:modified xsi:type="dcterms:W3CDTF">2025-08-27T12:42:00Z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7a707725-0076-4f74-9ed6-b2b086d0df71</vt:lpwstr>
  </property>
</Properties>
</file>